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c"/>
        <w:bidiVisual/>
        <w:tblW w:w="95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700"/>
        <w:gridCol w:w="7095"/>
      </w:tblGrid>
      <w:tr w:rsidR="0094424E" w:rsidTr="00D156A1">
        <w:trPr>
          <w:jc w:val="center"/>
        </w:trPr>
        <w:tc>
          <w:tcPr>
            <w:tcW w:w="743" w:type="dxa"/>
          </w:tcPr>
          <w:p w:rsidR="0094424E" w:rsidRPr="00DD05A8" w:rsidRDefault="00B01C7F"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795" w:type="dxa"/>
            <w:gridSpan w:val="2"/>
          </w:tcPr>
          <w:p w:rsidR="0094424E" w:rsidRPr="00DD05A8" w:rsidRDefault="000529D2" w:rsidP="00B01C7F">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בלהה טולקובסקי</w:t>
                </w:r>
                <w:r w:rsidR="00B01C7F">
                  <w:rPr>
                    <w:rFonts w:ascii="Arial" w:hAnsi="Arial" w:hint="cs"/>
                    <w:b/>
                    <w:bCs/>
                    <w:sz w:val="26"/>
                    <w:szCs w:val="26"/>
                    <w:rtl/>
                  </w:rPr>
                  <w:t>, סג"נ</w:t>
                </w:r>
              </w:sdtContent>
            </w:sdt>
          </w:p>
          <w:p w:rsidR="0094424E" w:rsidRPr="00DD05A8" w:rsidRDefault="0094424E" w:rsidP="00D44968">
            <w:pPr>
              <w:suppressLineNumbers/>
              <w:rPr>
                <w:rFonts w:ascii="Arial" w:hAnsi="Arial" w:cs="FrankRuehl"/>
                <w:sz w:val="26"/>
                <w:szCs w:val="26"/>
                <w:highlight w:val="yellow"/>
              </w:rPr>
            </w:pPr>
          </w:p>
        </w:tc>
      </w:tr>
      <w:tr w:rsidR="0094424E" w:rsidTr="00A95A76">
        <w:trPr>
          <w:jc w:val="center"/>
        </w:trPr>
        <w:tc>
          <w:tcPr>
            <w:tcW w:w="2443" w:type="dxa"/>
            <w:gridSpan w:val="2"/>
          </w:tcPr>
          <w:p w:rsidR="0094424E" w:rsidRDefault="0094424E" w:rsidP="00D44968">
            <w:pPr>
              <w:suppressLineNumbers/>
              <w:rPr>
                <w:rFonts w:ascii="Arial" w:hAnsi="Arial"/>
                <w:b/>
                <w:bCs/>
                <w:sz w:val="26"/>
                <w:szCs w:val="26"/>
              </w:rPr>
            </w:pPr>
          </w:p>
          <w:sdt>
            <w:sdtPr>
              <w:rPr>
                <w:rtl/>
              </w:rPr>
              <w:alias w:val="1180"/>
              <w:tag w:val="1180"/>
              <w:id w:val="637458750"/>
              <w:text w:multiLine="1"/>
            </w:sdtPr>
            <w:sdtEndPr/>
            <w:sdtContent>
              <w:p w:rsidR="00F74337" w:rsidRDefault="00B01C7F" w:rsidP="00B01C7F">
                <w:pPr>
                  <w:suppressLineNumbers/>
                  <w:rPr>
                    <w:rFonts w:ascii="Arial" w:hAnsi="Arial"/>
                    <w:b/>
                    <w:bCs/>
                    <w:sz w:val="26"/>
                    <w:szCs w:val="26"/>
                    <w:rtl/>
                  </w:rPr>
                </w:pPr>
                <w:r>
                  <w:rPr>
                    <w:rFonts w:ascii="Arial" w:hAnsi="Arial" w:hint="cs"/>
                    <w:b/>
                    <w:bCs/>
                    <w:sz w:val="26"/>
                    <w:szCs w:val="26"/>
                    <w:rtl/>
                  </w:rPr>
                  <w:t>הת</w:t>
                </w:r>
                <w:r w:rsidR="00074406">
                  <w:rPr>
                    <w:rFonts w:ascii="Arial" w:hAnsi="Arial"/>
                    <w:b/>
                    <w:bCs/>
                    <w:sz w:val="26"/>
                    <w:szCs w:val="26"/>
                    <w:rtl/>
                  </w:rPr>
                  <w:t>ובע</w:t>
                </w:r>
                <w:r>
                  <w:rPr>
                    <w:rFonts w:ascii="Arial" w:hAnsi="Arial" w:hint="cs"/>
                    <w:b/>
                    <w:bCs/>
                    <w:sz w:val="26"/>
                    <w:szCs w:val="26"/>
                    <w:rtl/>
                  </w:rPr>
                  <w:t>ות</w:t>
                </w:r>
              </w:p>
            </w:sdtContent>
          </w:sdt>
        </w:tc>
        <w:tc>
          <w:tcPr>
            <w:tcW w:w="7095" w:type="dxa"/>
          </w:tcPr>
          <w:p w:rsidR="0094424E" w:rsidRDefault="0094424E" w:rsidP="00D44968">
            <w:pPr>
              <w:suppressLineNumbers/>
              <w:rPr>
                <w:rFonts w:ascii="Arial" w:hAnsi="Arial"/>
                <w:b/>
                <w:bCs/>
                <w:sz w:val="26"/>
                <w:szCs w:val="26"/>
                <w:rtl/>
              </w:rPr>
            </w:pPr>
          </w:p>
          <w:p w:rsidR="0094424E" w:rsidRDefault="00210A79" w:rsidP="00B01C7F">
            <w:pPr>
              <w:suppressLineNumbers/>
              <w:rPr>
                <w:b/>
                <w:bCs/>
                <w:sz w:val="26"/>
                <w:szCs w:val="26"/>
              </w:rPr>
            </w:pPr>
            <w:sdt>
              <w:sdtPr>
                <w:rPr>
                  <w:rFonts w:ascii="Arial" w:hAnsi="Arial"/>
                  <w:b/>
                  <w:bCs/>
                  <w:sz w:val="26"/>
                  <w:szCs w:val="26"/>
                  <w:rtl/>
                </w:rPr>
                <w:alias w:val="1462"/>
                <w:tag w:val="1462"/>
                <w:id w:val="-2139489462"/>
                <w:text w:multiLine="1"/>
              </w:sdtPr>
              <w:sdtEndPr/>
              <w:sdtContent>
                <w:r w:rsidR="00B859C5">
                  <w:rPr>
                    <w:rFonts w:ascii="Arial" w:hAnsi="Arial"/>
                    <w:b/>
                    <w:bCs/>
                    <w:sz w:val="26"/>
                    <w:szCs w:val="26"/>
                    <w:rtl/>
                  </w:rPr>
                  <w:t>1</w:t>
                </w:r>
              </w:sdtContent>
            </w:sdt>
            <w:r w:rsidR="0094424E" w:rsidRPr="007C2453">
              <w:rPr>
                <w:rFonts w:ascii="Arial" w:hAnsi="Arial"/>
                <w:b/>
                <w:bCs/>
                <w:sz w:val="26"/>
                <w:szCs w:val="26"/>
                <w:rtl/>
              </w:rPr>
              <w:t>.</w:t>
            </w:r>
            <w:r w:rsidR="007C2453" w:rsidRPr="007C2453">
              <w:rPr>
                <w:rFonts w:ascii="Arial" w:hAnsi="Arial" w:hint="cs"/>
                <w:b/>
                <w:bCs/>
                <w:sz w:val="26"/>
                <w:szCs w:val="26"/>
                <w:rtl/>
              </w:rPr>
              <w:t xml:space="preserve"> </w:t>
            </w:r>
            <w:sdt>
              <w:sdtPr>
                <w:rPr>
                  <w:rFonts w:ascii="Arial" w:hAnsi="Arial" w:hint="cs"/>
                  <w:b/>
                  <w:bCs/>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sz w:val="26"/>
                    <w:szCs w:val="26"/>
                    <w:rtl/>
                  </w:rPr>
                  <w:t>פלונית</w:t>
                </w:r>
              </w:sdtContent>
            </w:sdt>
            <w:r w:rsidR="00B859C5">
              <w:rPr>
                <w:rFonts w:ascii="Arial" w:hAnsi="Arial" w:hint="eastAsia"/>
                <w:b/>
                <w:bCs/>
                <w:sz w:val="26"/>
                <w:szCs w:val="26"/>
                <w:rtl/>
              </w:rPr>
              <w:t xml:space="preserve"> </w:t>
            </w:r>
          </w:p>
          <w:p w:rsidR="0094424E" w:rsidRDefault="00210A79" w:rsidP="00B01C7F">
            <w:pPr>
              <w:suppressLineNumbers/>
              <w:rPr>
                <w:b/>
                <w:bCs/>
                <w:sz w:val="26"/>
                <w:szCs w:val="26"/>
                <w:rtl/>
              </w:rPr>
            </w:pPr>
            <w:sdt>
              <w:sdtPr>
                <w:rPr>
                  <w:rFonts w:ascii="Arial" w:hAnsi="Arial"/>
                  <w:b/>
                  <w:bCs/>
                  <w:sz w:val="26"/>
                  <w:szCs w:val="26"/>
                  <w:rtl/>
                </w:rPr>
                <w:alias w:val="1462"/>
                <w:tag w:val="1462"/>
                <w:id w:val="-884178462"/>
                <w:text w:multiLine="1"/>
              </w:sdtPr>
              <w:sdtEndPr/>
              <w:sdtContent>
                <w:r w:rsidR="00B859C5">
                  <w:rPr>
                    <w:rFonts w:ascii="Arial" w:hAnsi="Arial"/>
                    <w:b/>
                    <w:bCs/>
                    <w:sz w:val="26"/>
                    <w:szCs w:val="26"/>
                    <w:rtl/>
                  </w:rPr>
                  <w:t>2</w:t>
                </w:r>
              </w:sdtContent>
            </w:sdt>
            <w:r w:rsidR="0094424E" w:rsidRPr="007C2453">
              <w:rPr>
                <w:rFonts w:ascii="Arial" w:hAnsi="Arial"/>
                <w:b/>
                <w:bCs/>
                <w:sz w:val="26"/>
                <w:szCs w:val="26"/>
                <w:rtl/>
              </w:rPr>
              <w:t>.</w:t>
            </w:r>
            <w:r w:rsidR="007C2453" w:rsidRPr="007C2453">
              <w:rPr>
                <w:rFonts w:ascii="Arial" w:hAnsi="Arial" w:hint="cs"/>
                <w:b/>
                <w:bCs/>
                <w:sz w:val="26"/>
                <w:szCs w:val="26"/>
                <w:rtl/>
              </w:rPr>
              <w:t xml:space="preserve"> </w:t>
            </w:r>
            <w:sdt>
              <w:sdtPr>
                <w:rPr>
                  <w:rFonts w:ascii="Arial" w:hAnsi="Arial" w:hint="cs"/>
                  <w:b/>
                  <w:bCs/>
                  <w:sz w:val="26"/>
                  <w:szCs w:val="26"/>
                  <w:rtl/>
                </w:rPr>
                <w:alias w:val="3151"/>
                <w:tag w:val="3151"/>
                <w:id w:val="-729461805"/>
                <w:placeholder>
                  <w:docPart w:val="7D8E46D2581B4CD9ACC623ACA7D52F75"/>
                </w:placeholder>
                <w:text w:multiLine="1"/>
              </w:sdtPr>
              <w:sdtEndPr/>
              <w:sdtContent>
                <w:r w:rsidR="00B859C5">
                  <w:rPr>
                    <w:rFonts w:ascii="Arial" w:hAnsi="Arial" w:hint="eastAsia"/>
                    <w:b/>
                    <w:bCs/>
                    <w:sz w:val="26"/>
                    <w:szCs w:val="26"/>
                    <w:rtl/>
                  </w:rPr>
                  <w:t>פלוני</w:t>
                </w:r>
                <w:r w:rsidR="00B01C7F">
                  <w:rPr>
                    <w:rFonts w:ascii="Arial" w:hAnsi="Arial" w:hint="cs"/>
                    <w:b/>
                    <w:bCs/>
                    <w:sz w:val="26"/>
                    <w:szCs w:val="26"/>
                    <w:rtl/>
                  </w:rPr>
                  <w:t>ת</w:t>
                </w:r>
              </w:sdtContent>
            </w:sdt>
            <w:r w:rsidR="00B859C5">
              <w:rPr>
                <w:rFonts w:ascii="Arial" w:hAnsi="Arial" w:hint="eastAsia"/>
                <w:b/>
                <w:bCs/>
                <w:sz w:val="26"/>
                <w:szCs w:val="26"/>
                <w:rtl/>
              </w:rPr>
              <w:t xml:space="preserve"> </w:t>
            </w:r>
          </w:p>
          <w:p w:rsidR="00B01C7F" w:rsidRPr="00B01C7F" w:rsidRDefault="00B01C7F" w:rsidP="00B01C7F">
            <w:pPr>
              <w:suppressLineNumbers/>
              <w:rPr>
                <w:rtl/>
              </w:rPr>
            </w:pPr>
            <w:r w:rsidRPr="00B01C7F">
              <w:rPr>
                <w:rFonts w:hint="cs"/>
                <w:rtl/>
              </w:rPr>
              <w:t xml:space="preserve">     ע"י ב"כ עו"ד </w:t>
            </w:r>
            <w:r>
              <w:rPr>
                <w:rFonts w:hint="cs"/>
                <w:rtl/>
              </w:rPr>
              <w:t xml:space="preserve"> א' אוחיון</w:t>
            </w:r>
          </w:p>
        </w:tc>
      </w:tr>
      <w:tr w:rsidR="0094424E" w:rsidTr="00D156A1">
        <w:trPr>
          <w:jc w:val="center"/>
        </w:trPr>
        <w:tc>
          <w:tcPr>
            <w:tcW w:w="9538" w:type="dxa"/>
            <w:gridSpan w:val="3"/>
          </w:tcPr>
          <w:p w:rsidR="0094424E" w:rsidRPr="00B01C7F" w:rsidRDefault="0094424E" w:rsidP="00D44968">
            <w:pPr>
              <w:suppressLineNumbers/>
              <w:rPr>
                <w:rFonts w:ascii="Arial" w:hAnsi="Arial"/>
                <w:b/>
                <w:bCs/>
                <w:sz w:val="26"/>
                <w:szCs w:val="26"/>
                <w:rtl/>
              </w:rPr>
            </w:pPr>
          </w:p>
          <w:p w:rsidR="0094424E" w:rsidRDefault="0094424E" w:rsidP="00D44968">
            <w:pPr>
              <w:suppressLineNumbers/>
              <w:jc w:val="center"/>
              <w:rPr>
                <w:rFonts w:ascii="Arial" w:hAnsi="Arial"/>
                <w:b/>
                <w:bCs/>
                <w:sz w:val="26"/>
                <w:szCs w:val="26"/>
                <w:rtl/>
              </w:rPr>
            </w:pPr>
            <w:r>
              <w:rPr>
                <w:rFonts w:ascii="Arial" w:hAnsi="Arial"/>
                <w:b/>
                <w:bCs/>
                <w:sz w:val="26"/>
                <w:szCs w:val="26"/>
                <w:rtl/>
              </w:rPr>
              <w:t>נגד</w:t>
            </w:r>
          </w:p>
          <w:p w:rsidR="0094424E" w:rsidRDefault="0094424E" w:rsidP="00D44968">
            <w:pPr>
              <w:suppressLineNumbers/>
              <w:rPr>
                <w:rFonts w:ascii="Arial" w:hAnsi="Arial"/>
                <w:b/>
                <w:bCs/>
                <w:sz w:val="26"/>
                <w:szCs w:val="26"/>
              </w:rPr>
            </w:pPr>
          </w:p>
        </w:tc>
      </w:tr>
      <w:tr w:rsidR="0094424E" w:rsidTr="00A95A76">
        <w:trPr>
          <w:jc w:val="center"/>
        </w:trPr>
        <w:tc>
          <w:tcPr>
            <w:tcW w:w="2443" w:type="dxa"/>
            <w:gridSpan w:val="2"/>
          </w:tcPr>
          <w:p w:rsidR="0094424E" w:rsidRDefault="00210A79" w:rsidP="009E461A">
            <w:pPr>
              <w:suppressLineNumbers/>
              <w:rPr>
                <w:rFonts w:ascii="Arial" w:hAnsi="Arial"/>
                <w:b/>
                <w:bCs/>
                <w:sz w:val="26"/>
                <w:szCs w:val="26"/>
              </w:rPr>
            </w:pPr>
            <w:sdt>
              <w:sdtPr>
                <w:rPr>
                  <w:rtl/>
                </w:rPr>
                <w:alias w:val="1184"/>
                <w:tag w:val="1184"/>
                <w:id w:val="-340621022"/>
                <w:text w:multiLine="1"/>
              </w:sdtPr>
              <w:sdtEndPr/>
              <w:sdtContent>
                <w:r w:rsidR="00B859C5">
                  <w:rPr>
                    <w:rFonts w:ascii="Arial" w:hAnsi="Arial"/>
                    <w:b/>
                    <w:bCs/>
                    <w:sz w:val="26"/>
                    <w:szCs w:val="26"/>
                    <w:rtl/>
                  </w:rPr>
                  <w:t>נתבעים</w:t>
                </w:r>
              </w:sdtContent>
            </w:sdt>
          </w:p>
        </w:tc>
        <w:tc>
          <w:tcPr>
            <w:tcW w:w="7095" w:type="dxa"/>
          </w:tcPr>
          <w:p w:rsidR="00CF6BB7" w:rsidRDefault="007C2453" w:rsidP="00B01C7F">
            <w:pPr>
              <w:suppressLineNumbers/>
              <w:rPr>
                <w:rFonts w:ascii="Arial" w:hAnsi="Arial"/>
                <w:b/>
                <w:bCs/>
                <w:sz w:val="26"/>
                <w:szCs w:val="26"/>
                <w:rtl/>
              </w:rPr>
            </w:pPr>
            <w:r>
              <w:rPr>
                <w:rFonts w:ascii="Arial" w:hAnsi="Arial" w:hint="cs"/>
                <w:b/>
                <w:bCs/>
                <w:sz w:val="26"/>
                <w:szCs w:val="26"/>
                <w:rtl/>
              </w:rPr>
              <w:t xml:space="preserve"> </w:t>
            </w:r>
            <w:sdt>
              <w:sdtPr>
                <w:rPr>
                  <w:rFonts w:ascii="Arial" w:hAnsi="Arial" w:hint="cs"/>
                  <w:b/>
                  <w:bCs/>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sz w:val="26"/>
                    <w:szCs w:val="26"/>
                    <w:rtl/>
                  </w:rPr>
                  <w:t>מחלקה לחקירות שוטרים - מח"ש</w:t>
                </w:r>
              </w:sdtContent>
            </w:sdt>
            <w:r w:rsidR="00B859C5">
              <w:rPr>
                <w:rFonts w:hint="cs"/>
                <w:rtl/>
              </w:rPr>
              <w:t xml:space="preserve"> </w:t>
            </w:r>
          </w:p>
          <w:p w:rsidR="00040CA8" w:rsidRDefault="00B01C7F" w:rsidP="00D156A1">
            <w:pPr>
              <w:suppressLineNumbers/>
              <w:rPr>
                <w:rtl/>
              </w:rPr>
            </w:pPr>
            <w:r w:rsidRPr="00B01C7F">
              <w:rPr>
                <w:rFonts w:hint="cs"/>
                <w:rtl/>
              </w:rPr>
              <w:t xml:space="preserve"> ע"י ב"כ עו"ד</w:t>
            </w:r>
            <w:r>
              <w:rPr>
                <w:rFonts w:hint="cs"/>
                <w:rtl/>
              </w:rPr>
              <w:t xml:space="preserve"> נ' גנצ'רסקי ועו"ד ל' גור</w:t>
            </w:r>
            <w:r w:rsidRPr="00B01C7F">
              <w:rPr>
                <w:rFonts w:hint="cs"/>
                <w:rtl/>
              </w:rPr>
              <w:t xml:space="preserve"> </w:t>
            </w:r>
            <w:r w:rsidR="00D156A1">
              <w:rPr>
                <w:rFonts w:hint="cs"/>
                <w:rtl/>
              </w:rPr>
              <w:t xml:space="preserve"> </w:t>
            </w:r>
          </w:p>
          <w:p w:rsidR="00B01C7F" w:rsidRPr="009E461A" w:rsidRDefault="00040CA8" w:rsidP="00D156A1">
            <w:pPr>
              <w:suppressLineNumbers/>
              <w:rPr>
                <w:rtl/>
              </w:rPr>
            </w:pPr>
            <w:r>
              <w:rPr>
                <w:rFonts w:hint="cs"/>
                <w:rtl/>
              </w:rPr>
              <w:t xml:space="preserve"> </w:t>
            </w:r>
            <w:r w:rsidR="00D156A1">
              <w:rPr>
                <w:rFonts w:hint="cs"/>
                <w:rtl/>
              </w:rPr>
              <w:t>מפרקליטות מחוז ת"א (אזרחי)</w:t>
            </w:r>
          </w:p>
        </w:tc>
      </w:tr>
      <w:tr w:rsidR="00694556" w:rsidRPr="00DE1E7D" w:rsidTr="00D156A1">
        <w:trPr>
          <w:jc w:val="center"/>
        </w:trPr>
        <w:tc>
          <w:tcPr>
            <w:tcW w:w="9538" w:type="dxa"/>
            <w:gridSpan w:val="3"/>
          </w:tcPr>
          <w:p w:rsidR="00B01C7F" w:rsidRDefault="00B01C7F">
            <w:pPr>
              <w:bidi w:val="0"/>
              <w:jc w:val="center"/>
              <w:rPr>
                <w:rFonts w:ascii="Arial" w:hAnsi="Arial"/>
                <w:b/>
                <w:bCs/>
                <w:sz w:val="28"/>
                <w:szCs w:val="28"/>
                <w:u w:val="single"/>
                <w:rtl/>
              </w:rPr>
            </w:pPr>
          </w:p>
          <w:p w:rsidR="00694556" w:rsidRDefault="003E38C7" w:rsidP="00B01C7F">
            <w:pPr>
              <w:bidi w:val="0"/>
              <w:jc w:val="center"/>
              <w:rPr>
                <w:rFonts w:ascii="Arial" w:hAnsi="Arial"/>
                <w:b/>
                <w:bCs/>
                <w:sz w:val="28"/>
                <w:szCs w:val="28"/>
                <w:u w:val="single"/>
                <w:rtl/>
              </w:rPr>
            </w:pPr>
            <w:r>
              <w:rPr>
                <w:rFonts w:ascii="Arial" w:hAnsi="Arial" w:hint="cs"/>
                <w:b/>
                <w:bCs/>
                <w:sz w:val="28"/>
                <w:szCs w:val="28"/>
                <w:u w:val="single"/>
                <w:rtl/>
              </w:rPr>
              <w:t>פסק דין</w:t>
            </w:r>
          </w:p>
          <w:p w:rsidR="00D44968" w:rsidRPr="00D44968" w:rsidRDefault="00D44968" w:rsidP="00D44968">
            <w:pPr>
              <w:bidi w:val="0"/>
              <w:jc w:val="center"/>
              <w:rPr>
                <w:rFonts w:ascii="Arial" w:hAnsi="Arial"/>
                <w:b/>
                <w:bCs/>
                <w:sz w:val="28"/>
                <w:szCs w:val="28"/>
                <w:u w:val="single"/>
              </w:rPr>
            </w:pPr>
          </w:p>
        </w:tc>
      </w:tr>
    </w:tbl>
    <w:p w:rsidR="00694556" w:rsidRPr="00C770E3" w:rsidRDefault="00694556">
      <w:pPr>
        <w:spacing w:line="360" w:lineRule="auto"/>
        <w:jc w:val="both"/>
        <w:rPr>
          <w:rFonts w:ascii="Arial" w:hAnsi="Arial"/>
          <w:rtl/>
        </w:rPr>
      </w:pPr>
      <w:bookmarkStart w:id="0" w:name="NGCSBookmark"/>
      <w:bookmarkEnd w:id="0"/>
    </w:p>
    <w:p w:rsidR="00B01C7F" w:rsidRDefault="00B01C7F" w:rsidP="00B01C7F">
      <w:pPr>
        <w:spacing w:line="360" w:lineRule="auto"/>
        <w:ind w:left="357"/>
        <w:rPr>
          <w:rFonts w:ascii="David" w:hAnsi="David"/>
          <w:b/>
          <w:bCs/>
          <w:rtl/>
        </w:rPr>
      </w:pPr>
      <w:r>
        <w:rPr>
          <w:rFonts w:ascii="David" w:hAnsi="David"/>
          <w:b/>
          <w:bCs/>
          <w:rtl/>
        </w:rPr>
        <w:t>מבוא - הצדדים ומהות התביעה</w:t>
      </w: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התובעות הן שוטרות במשטרת ישראל, שנחקרו כעדות על ידי המחלקה לחקירת שוטרים (להלן: </w:t>
      </w:r>
      <w:r>
        <w:rPr>
          <w:rFonts w:ascii="David" w:hAnsi="David" w:cs="David"/>
          <w:b/>
          <w:bCs/>
          <w:sz w:val="24"/>
          <w:szCs w:val="24"/>
          <w:rtl/>
        </w:rPr>
        <w:t>"מח"ש"</w:t>
      </w:r>
      <w:r>
        <w:rPr>
          <w:rFonts w:ascii="David" w:hAnsi="David" w:cs="David"/>
          <w:sz w:val="24"/>
          <w:szCs w:val="24"/>
          <w:rtl/>
        </w:rPr>
        <w:t>), במסגרת חקירה שנפתחה נגד מי שהיה בעת ההיא אחד המפקדים הבכירים במשטרה, ניצב ניסו שחם (להלן: "</w:t>
      </w:r>
      <w:r>
        <w:rPr>
          <w:rFonts w:ascii="David" w:hAnsi="David" w:cs="David"/>
          <w:b/>
          <w:bCs/>
          <w:sz w:val="24"/>
          <w:szCs w:val="24"/>
          <w:rtl/>
        </w:rPr>
        <w:t>שחם</w:t>
      </w:r>
      <w:r>
        <w:rPr>
          <w:rFonts w:ascii="David" w:hAnsi="David" w:cs="David"/>
          <w:sz w:val="24"/>
          <w:szCs w:val="24"/>
          <w:rtl/>
        </w:rPr>
        <w:t xml:space="preserve">"), ואשר לימים עמד לדין והורשע בעבירות של מעשה מגונה, הפרת אמונים והטרדה מינית בגין קיום יחסים עם שוטרות זוטרות ממנו (ת"פ (שלום ת"א) 31283-10-13 </w:t>
      </w:r>
      <w:r>
        <w:rPr>
          <w:rFonts w:ascii="David" w:hAnsi="David" w:cs="David"/>
          <w:b/>
          <w:bCs/>
          <w:sz w:val="24"/>
          <w:szCs w:val="24"/>
          <w:rtl/>
        </w:rPr>
        <w:t xml:space="preserve">מדינת ישראל - המחלקה לחקירות שוטרים נ' שחם </w:t>
      </w:r>
      <w:r>
        <w:rPr>
          <w:rFonts w:ascii="David" w:hAnsi="David" w:cs="David"/>
          <w:sz w:val="24"/>
          <w:szCs w:val="24"/>
          <w:rtl/>
        </w:rPr>
        <w:t xml:space="preserve">(24.4.2018); ע"פ (מחוזי ת"א) 23260-01-19 </w:t>
      </w:r>
      <w:r>
        <w:rPr>
          <w:rFonts w:ascii="David" w:hAnsi="David" w:cs="David"/>
          <w:b/>
          <w:bCs/>
          <w:sz w:val="24"/>
          <w:szCs w:val="24"/>
          <w:rtl/>
        </w:rPr>
        <w:t xml:space="preserve">מדינת ישראל נ' שחם </w:t>
      </w:r>
      <w:r>
        <w:rPr>
          <w:rFonts w:ascii="David" w:hAnsi="David" w:cs="David"/>
          <w:sz w:val="24"/>
          <w:szCs w:val="24"/>
          <w:rtl/>
        </w:rPr>
        <w:t>(23.9.2019)</w:t>
      </w:r>
      <w:r>
        <w:rPr>
          <w:rFonts w:ascii="David" w:hAnsi="David" w:cs="David"/>
          <w:b/>
          <w:bCs/>
          <w:sz w:val="24"/>
          <w:szCs w:val="24"/>
          <w:rtl/>
        </w:rPr>
        <w:t xml:space="preserve"> </w:t>
      </w:r>
      <w:r>
        <w:rPr>
          <w:rFonts w:ascii="David" w:hAnsi="David" w:cs="David"/>
          <w:sz w:val="24"/>
          <w:szCs w:val="24"/>
          <w:rtl/>
        </w:rPr>
        <w:t>(להלן:</w:t>
      </w:r>
      <w:r>
        <w:rPr>
          <w:rFonts w:ascii="David" w:hAnsi="David" w:cs="David"/>
          <w:b/>
          <w:bCs/>
          <w:sz w:val="24"/>
          <w:szCs w:val="24"/>
          <w:rtl/>
        </w:rPr>
        <w:t xml:space="preserve"> "פסק דינו של בית המשפט המחוזי"</w:t>
      </w:r>
      <w:r>
        <w:rPr>
          <w:rFonts w:ascii="David" w:hAnsi="David" w:cs="David"/>
          <w:sz w:val="24"/>
          <w:szCs w:val="24"/>
          <w:rtl/>
        </w:rPr>
        <w:t>)</w:t>
      </w:r>
      <w:r>
        <w:rPr>
          <w:rFonts w:ascii="David" w:hAnsi="David" w:cs="David"/>
          <w:b/>
          <w:bCs/>
          <w:sz w:val="24"/>
          <w:szCs w:val="24"/>
          <w:rtl/>
        </w:rPr>
        <w:t>,</w:t>
      </w:r>
      <w:r>
        <w:rPr>
          <w:rFonts w:ascii="David" w:hAnsi="David" w:cs="David"/>
          <w:sz w:val="24"/>
          <w:szCs w:val="24"/>
          <w:rtl/>
        </w:rPr>
        <w:t xml:space="preserve"> רע"פ 6477/20 </w:t>
      </w:r>
      <w:r>
        <w:rPr>
          <w:rFonts w:ascii="David" w:hAnsi="David" w:cs="David"/>
          <w:b/>
          <w:bCs/>
          <w:sz w:val="24"/>
          <w:szCs w:val="24"/>
          <w:rtl/>
        </w:rPr>
        <w:t>שחם נ' מדינת ישראל</w:t>
      </w:r>
      <w:r>
        <w:rPr>
          <w:rFonts w:ascii="David" w:hAnsi="David" w:cs="David"/>
          <w:sz w:val="24"/>
          <w:szCs w:val="24"/>
          <w:rtl/>
        </w:rPr>
        <w:t xml:space="preserve"> (15.11.2021) (להלן: "</w:t>
      </w:r>
      <w:r>
        <w:rPr>
          <w:rFonts w:ascii="David" w:hAnsi="David" w:cs="David"/>
          <w:b/>
          <w:bCs/>
          <w:sz w:val="24"/>
          <w:szCs w:val="24"/>
          <w:rtl/>
        </w:rPr>
        <w:t>פסק דינו של בית המשפט העליון</w:t>
      </w:r>
      <w:r>
        <w:rPr>
          <w:rFonts w:ascii="David" w:hAnsi="David" w:cs="David"/>
          <w:sz w:val="24"/>
          <w:szCs w:val="24"/>
          <w:rtl/>
        </w:rPr>
        <w:t xml:space="preserve">" וביחד: </w:t>
      </w:r>
      <w:r>
        <w:rPr>
          <w:rFonts w:ascii="David" w:hAnsi="David" w:cs="David"/>
          <w:b/>
          <w:bCs/>
          <w:sz w:val="24"/>
          <w:szCs w:val="24"/>
          <w:rtl/>
        </w:rPr>
        <w:t>"ההליך הפלילי"</w:t>
      </w:r>
      <w:r>
        <w:rPr>
          <w:rFonts w:ascii="David" w:hAnsi="David" w:cs="David"/>
          <w:sz w:val="24"/>
          <w:szCs w:val="24"/>
          <w:rtl/>
        </w:rPr>
        <w:t>).</w:t>
      </w:r>
    </w:p>
    <w:p w:rsidR="00B01C7F" w:rsidRDefault="00B01C7F" w:rsidP="00B01C7F">
      <w:pPr>
        <w:pStyle w:val="af0"/>
        <w:spacing w:line="360" w:lineRule="auto"/>
        <w:ind w:left="357"/>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התובעות טוענות כי הן נחקרו בצורה פולשנית ומשפילה תוך חיטוט טורדני ומיותר בתחומים אינטימיים של חייהן ורמיסת נפשן וכבודן כך שזכויות היסוד שלהן לכבוד ולשמירה על הפרטיות המעוגנות בסעיפים 2 ו- 7 לחוק יסוד: כבוד האדם וחירותו, נפגעו בצורה לא מידתית ושלא לתכלית ראויה. עוד נטען כי החקירה נוהלה תוך פגיעה בזכויותיהן של התובעות על פי חוק זכויות נפגעי עבירה התשס"א- 2001 (להלן: </w:t>
      </w:r>
      <w:r>
        <w:rPr>
          <w:rFonts w:ascii="David" w:hAnsi="David" w:cs="David"/>
          <w:b/>
          <w:bCs/>
          <w:sz w:val="24"/>
          <w:szCs w:val="24"/>
          <w:rtl/>
        </w:rPr>
        <w:t>"חוק זכויות נפגעי עבירה"</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כי השאלות שהופנו אליהן עולות כדי הטרדה מינית כמשמעה בחוק למניעת הטרדה מינית, התשנ"ח -1998 (להלן: </w:t>
      </w:r>
      <w:r>
        <w:rPr>
          <w:rFonts w:ascii="David" w:hAnsi="David" w:cs="David"/>
          <w:b/>
          <w:bCs/>
          <w:sz w:val="24"/>
          <w:szCs w:val="24"/>
          <w:rtl/>
        </w:rPr>
        <w:t>"החוק למניעת הטרדה מינית"</w:t>
      </w:r>
      <w:r>
        <w:rPr>
          <w:rFonts w:ascii="David" w:hAnsi="David" w:cs="David"/>
          <w:sz w:val="24"/>
          <w:szCs w:val="24"/>
          <w:rtl/>
        </w:rPr>
        <w:t xml:space="preserve">) וכי על הנתבעת לפצותן בגין הנזקים שנגרמו להן כתוצאה מהחקירה מכוח עוולת הרשלנות ומכוח העוולה של הפרת חובה חקוקה. </w:t>
      </w:r>
    </w:p>
    <w:p w:rsidR="00B01C7F" w:rsidRDefault="00B01C7F" w:rsidP="00B01C7F">
      <w:pPr>
        <w:pStyle w:val="af0"/>
        <w:spacing w:line="360" w:lineRule="auto"/>
        <w:ind w:left="357"/>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הנתבעת, מדינת ישראל - משרד המשפטים - מח"ש (להלן: "</w:t>
      </w:r>
      <w:r>
        <w:rPr>
          <w:rFonts w:ascii="David" w:hAnsi="David" w:cs="David"/>
          <w:b/>
          <w:bCs/>
          <w:sz w:val="24"/>
          <w:szCs w:val="24"/>
          <w:rtl/>
        </w:rPr>
        <w:t>הנתבעת"</w:t>
      </w:r>
      <w:r>
        <w:rPr>
          <w:rFonts w:ascii="David" w:hAnsi="David" w:cs="David"/>
          <w:sz w:val="24"/>
          <w:szCs w:val="24"/>
          <w:rtl/>
        </w:rPr>
        <w:t xml:space="preserve"> או </w:t>
      </w:r>
      <w:r>
        <w:rPr>
          <w:rFonts w:ascii="David" w:hAnsi="David" w:cs="David"/>
          <w:b/>
          <w:bCs/>
          <w:sz w:val="24"/>
          <w:szCs w:val="24"/>
          <w:rtl/>
        </w:rPr>
        <w:t>"מח"ש"</w:t>
      </w:r>
      <w:r>
        <w:rPr>
          <w:rFonts w:ascii="David" w:hAnsi="David" w:cs="David"/>
          <w:sz w:val="24"/>
          <w:szCs w:val="24"/>
          <w:rtl/>
        </w:rPr>
        <w:t xml:space="preserve">), טוענת כי דין התביעה להידחות. לשיטתה, נוכח האירועים נושא החקירה וכתב האישום שהוגש בעקבותיה, ובמיוחד נוכח עוצמת האינטרס הציבורי שעמד ביסוד החקירה - מיגור התופעה של </w:t>
      </w:r>
      <w:r>
        <w:rPr>
          <w:rFonts w:ascii="David" w:hAnsi="David" w:cs="David"/>
          <w:sz w:val="24"/>
          <w:szCs w:val="24"/>
          <w:rtl/>
        </w:rPr>
        <w:lastRenderedPageBreak/>
        <w:t xml:space="preserve">פגיעות מיניות ושל ניצול סמכותם ומעמדם של קצינים בכירים במשטרה לקיום יחסים אינטימיים אסורים עם שוטרות זוטרות מהם - יש לקבוע כי החקירה וגביית ההודעות מהתובעות נעשו בהתאם להוראות הדין, ההנחיות והנהלים שהיו תקפים במועד הרלוונטי. עוד נטען כי גם אם בדיעבד ניתן לסבור כי חלק מהשאלות שהתובעות נשאלו היה מיותר, הדבר אינו מקים עילת תביעה שמזכה בפיצויים כך שדין התביעה להידחות.   </w:t>
      </w:r>
    </w:p>
    <w:p w:rsidR="00B01C7F" w:rsidRDefault="00B01C7F" w:rsidP="00B01C7F">
      <w:pPr>
        <w:pStyle w:val="af0"/>
        <w:spacing w:after="0" w:line="360" w:lineRule="auto"/>
        <w:ind w:left="357"/>
        <w:jc w:val="both"/>
        <w:rPr>
          <w:rFonts w:ascii="David" w:hAnsi="David" w:cs="David"/>
          <w:sz w:val="24"/>
          <w:szCs w:val="24"/>
        </w:rPr>
      </w:pPr>
    </w:p>
    <w:p w:rsidR="00B01C7F" w:rsidRDefault="00B01C7F" w:rsidP="00B01C7F">
      <w:pPr>
        <w:spacing w:line="360" w:lineRule="auto"/>
        <w:ind w:firstLine="357"/>
        <w:jc w:val="both"/>
        <w:rPr>
          <w:rFonts w:ascii="David" w:hAnsi="David"/>
          <w:b/>
          <w:bCs/>
          <w:rtl/>
        </w:rPr>
      </w:pPr>
      <w:r>
        <w:rPr>
          <w:rFonts w:ascii="David" w:hAnsi="David"/>
          <w:b/>
          <w:bCs/>
          <w:rtl/>
        </w:rPr>
        <w:t>רקע הדברים</w:t>
      </w: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לא ראיתי להרחיב בתיאור השתלשלות ההליכים שהתנהלו נגד שחם בערכאות השונות. הדברים מפורטים בפסקי הדין בהליך הפלילי. עם זאת, לצורך הבנת הרקע לחקירה שהתנהלה בפרשה לרבות נסיבות חקירתן של התובעות, יש לעמוד בקצרה על החשדות שנחקרו והיקפם.</w:t>
      </w:r>
    </w:p>
    <w:p w:rsidR="00B01C7F" w:rsidRDefault="00B01C7F" w:rsidP="00B01C7F">
      <w:pPr>
        <w:pStyle w:val="af0"/>
        <w:spacing w:line="360" w:lineRule="auto"/>
        <w:ind w:left="357"/>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החקירה נפתחה בעקבות מכתב אנונימי שבו תואר אירוע של מעשה מגונה ששחם ביצע בשוטרת ונוכח הצטברות מידע שהעלה חשד כי שחם מקיים קשרים אינטימיים אסורים עם שוטרות זוטרות ממנו.</w:t>
      </w:r>
    </w:p>
    <w:p w:rsidR="00B01C7F" w:rsidRDefault="00B01C7F" w:rsidP="00B01C7F">
      <w:pPr>
        <w:spacing w:line="360" w:lineRule="auto"/>
        <w:ind w:left="357"/>
        <w:jc w:val="both"/>
        <w:rPr>
          <w:rFonts w:ascii="David" w:hAnsi="David"/>
          <w:rtl/>
        </w:rPr>
      </w:pPr>
      <w:r>
        <w:rPr>
          <w:rFonts w:ascii="David" w:hAnsi="David"/>
          <w:rtl/>
        </w:rPr>
        <w:t>התובעות זומנו לחקירה במח"ש בשלבים הראשונים של החקירה ונגבתה מהן הודעה.</w:t>
      </w:r>
    </w:p>
    <w:p w:rsidR="00B01C7F" w:rsidRDefault="00B01C7F" w:rsidP="00B01C7F">
      <w:pPr>
        <w:spacing w:line="360" w:lineRule="auto"/>
        <w:ind w:left="357"/>
        <w:jc w:val="both"/>
        <w:rPr>
          <w:rFonts w:ascii="David" w:hAnsi="David"/>
          <w:rtl/>
        </w:rPr>
      </w:pPr>
      <w:r>
        <w:rPr>
          <w:rFonts w:ascii="David" w:hAnsi="David"/>
          <w:rtl/>
        </w:rPr>
        <w:t>בסיומה של החקירה הוגש נגד שחם כתב אישום שייחס לו עבירות של מרמה והפרת אמונים ושלוש עבירות מין בשמונה פרשות שונות. לגבי חמש הפרשות הראשונות וחלק מהפרשה השמינית בכתב האישום, נטען כי שחם טיפל מתוקף תפקידו בבקשות שונות של שוטרות חרף ניגוד עניינים שבו הוא היה מצוי בשל קשרים אינטימיים שניהל עמן, בהסכמה, באותה עת או עובר למועד שבו הובאו הבקשות לטיפולו. בשל מעשים אלו יוחסה לשחם עבירה של מרמה והפרת אמונים של עובד ציבור לפי סעיף 284 לחוק העונשין, התשל"ז-1977 (להלן: "</w:t>
      </w:r>
      <w:r>
        <w:rPr>
          <w:rFonts w:ascii="David" w:hAnsi="David"/>
          <w:b/>
          <w:bCs/>
          <w:rtl/>
        </w:rPr>
        <w:t>חוק העונשין</w:t>
      </w:r>
      <w:r>
        <w:rPr>
          <w:rFonts w:ascii="David" w:hAnsi="David"/>
          <w:rtl/>
        </w:rPr>
        <w:t xml:space="preserve">") בפרשות השישית, השביעית והשמינית שבכתב האישום יוחסו לשחם עבירות של ביצוע מעשה מגונה והטרדה מינית כלפי שוטרות שהיו כפופות לו. </w:t>
      </w:r>
    </w:p>
    <w:p w:rsidR="00B01C7F" w:rsidRDefault="00B01C7F" w:rsidP="00B01C7F">
      <w:pPr>
        <w:spacing w:line="360" w:lineRule="auto"/>
        <w:ind w:left="357"/>
        <w:jc w:val="both"/>
        <w:rPr>
          <w:rFonts w:ascii="David" w:hAnsi="David"/>
          <w:rtl/>
        </w:rPr>
      </w:pPr>
      <w:r>
        <w:rPr>
          <w:rFonts w:ascii="David" w:hAnsi="David"/>
          <w:rtl/>
        </w:rPr>
        <w:t>עניינה של התובעת 1 הוא נושא הפרשה השנייה שבכתב האישום. על פי המתואר בכתב האישום, לאחר שהתובעת ביקשה לקיים ראיון עם שחם בענין אישי שנגע לשיבוצה, שחם יצר עימה קשר טלפוני שהפך בתקופות מסוימות לתכוף ובעל אופי מיני והתפתח בהמשך לקיום יחסי מלאים ברכבו. בד בבד עם קיום הקשר הטלפוני, שחם פעל בעניינים שנוגעים לשיבוצה של התובעת 1, תוך שהוא מסתיר את ניגוד העניינים שבו הוא היה נתון (עמ' 5 בפסק דינו של בית המשפט המחוזי).</w:t>
      </w:r>
    </w:p>
    <w:p w:rsidR="00B01C7F" w:rsidRDefault="00B01C7F" w:rsidP="00B01C7F">
      <w:pPr>
        <w:pStyle w:val="af0"/>
        <w:spacing w:line="360" w:lineRule="auto"/>
        <w:ind w:left="357"/>
        <w:jc w:val="both"/>
        <w:rPr>
          <w:rFonts w:ascii="David" w:hAnsi="David" w:cs="David"/>
          <w:sz w:val="24"/>
          <w:szCs w:val="24"/>
          <w:rtl/>
        </w:rPr>
      </w:pPr>
      <w:r>
        <w:rPr>
          <w:rFonts w:ascii="David" w:hAnsi="David" w:cs="David"/>
          <w:sz w:val="24"/>
          <w:szCs w:val="24"/>
          <w:rtl/>
        </w:rPr>
        <w:t>עניינה של התובעת 2 אינו נכלל בכתב האישום.</w:t>
      </w:r>
    </w:p>
    <w:p w:rsidR="00B01C7F" w:rsidRDefault="00B01C7F" w:rsidP="00B01C7F">
      <w:pPr>
        <w:pStyle w:val="af0"/>
        <w:spacing w:line="360" w:lineRule="auto"/>
        <w:ind w:left="357"/>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בית משפט השלום הרשיע את שחם בעבירה אחת של מעשה מגונה לפי סעיף 348(ג) לחוק העונשין, בשל המיוחס לו בפרשה השישית וזיכה אותו מיתר העבירות.</w:t>
      </w:r>
    </w:p>
    <w:p w:rsidR="00B01C7F" w:rsidRDefault="00B01C7F" w:rsidP="00B01C7F">
      <w:pPr>
        <w:pStyle w:val="af0"/>
        <w:spacing w:line="360" w:lineRule="auto"/>
        <w:ind w:left="357"/>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lastRenderedPageBreak/>
        <w:t xml:space="preserve">בית המשפט המחוזי קיבל את ערעור המדינה והרשיע את שחם בעבירה של הפרת אמונים בשל קיום יחסים אינטימיים עם שוטרות זוטרות ממנו ובעבירה של הטרדה מינית לפי סעיפים 5(א) ו-3(א)(6)(5) לחוק למניעת הטרדה מינית זאת בגין הפרשה השביעית שבכתב האישום. </w:t>
      </w:r>
    </w:p>
    <w:p w:rsidR="00B01C7F" w:rsidRDefault="00B01C7F" w:rsidP="00B01C7F">
      <w:pPr>
        <w:spacing w:line="360" w:lineRule="auto"/>
        <w:ind w:left="357"/>
        <w:jc w:val="both"/>
        <w:rPr>
          <w:rFonts w:ascii="David" w:hAnsi="David"/>
          <w:rtl/>
        </w:rPr>
      </w:pPr>
      <w:r>
        <w:rPr>
          <w:rFonts w:ascii="David" w:hAnsi="David"/>
          <w:rtl/>
        </w:rPr>
        <w:t>בפסק דינו של בית המשפט המחוזי נקבע כי עצם קיומם של יחסים אינטימיים בין שחם לבין שוטרות זוטרות הכפופות לו, מהווה עבירה של הפרת אמונים שכן מעשים אלה פוגעים בחובת הנאמנות של עובד הציבור, בתפקוד התקין של השירות הציבורי ובתדמיתו זאת גם מבלי ששחם נדרש לקבל החלטה בעניינן של אותן שוטרות. תכלית העבירה של מרמה והפרת אמונים היא מניעת שחיתות בשירות הציבורי והגנה על תפקודו התקין של המנהל הציבורי ועל אמון הציבור בו. שאלת ההסכמה אינה רלוונטית, שכן הסכמתן של השוטרות הושגה תוך ניצול פערי הכוחות לצורך מינוף וסיפוק צרכיו של שחם. הנסיבות המיוחדות של המקרה ומידת חומרתם של המעשים מסיטים את מעשיו של שחם "</w:t>
      </w:r>
      <w:r>
        <w:rPr>
          <w:rFonts w:ascii="David" w:hAnsi="David"/>
          <w:b/>
          <w:bCs/>
          <w:rtl/>
        </w:rPr>
        <w:t>מהמרחב האפור' והמשמעתי למרחב 'השחור' הפלילי</w:t>
      </w:r>
      <w:r>
        <w:rPr>
          <w:rFonts w:ascii="David" w:hAnsi="David"/>
          <w:rtl/>
        </w:rPr>
        <w:t xml:space="preserve">" (עמ' 37 בפסק דינו של בית המשפט המחוזי), זאת בשל מעמדו ותפקידו הבכיר במשטרה אל מול מעמדן הזוטר של השוטרות שחלקן היו בשירות חובה. עוד נלקחו בחשבון בהקשר זה, מספר השוטרות שעמן שחם יצר קשרים בעלי אופי מיני; משך זמן הקשרים ואופיים; מודעותו לכך שהוא עשוי להתבקש להכריע הכרעות מקצועיות ניהוליות בעניינן של אותן שוטרות באופן שמציב אותו בניגוד עניינים; שמירת היחסים בסוד; והמסר שעלה מהתנהגותו כי מדובר במעשים לגיטימיים. </w:t>
      </w:r>
    </w:p>
    <w:p w:rsidR="00B01C7F" w:rsidRDefault="00B01C7F" w:rsidP="00B01C7F">
      <w:pPr>
        <w:spacing w:after="160" w:line="360" w:lineRule="auto"/>
        <w:ind w:left="357"/>
        <w:contextualSpacing/>
        <w:jc w:val="both"/>
        <w:rPr>
          <w:rFonts w:ascii="David" w:hAnsi="David"/>
          <w:rtl/>
        </w:rPr>
      </w:pPr>
      <w:r>
        <w:rPr>
          <w:rFonts w:ascii="David" w:hAnsi="David"/>
          <w:rtl/>
        </w:rPr>
        <w:t>עוד נקבע כי שחם פעל בניגוד עניינים בכך שטיפל בעניינן של שוטרות חרף העובדה שקודם לכן או תוך כדי פעולותיו, קיים איתן יחסים אינטימיים. המחלוקת היא על עוצמת ניגוד העניינים. בית משפט השלום שגה כאשר ניתח כל מקרה ומקרה בנפרד, במנותק מהתמונה הכוללת שממנה מתגבשת עבירה של מרמה והפרת אמונים בכל הפרשות שבהן התקיימו קשרים בעלי אופי מיני-אינטימי. וכלשון בית המשפט המחוזי: "</w:t>
      </w:r>
      <w:r>
        <w:rPr>
          <w:rFonts w:ascii="David" w:hAnsi="David"/>
          <w:b/>
          <w:bCs/>
          <w:rtl/>
        </w:rPr>
        <w:t>די בדפוס ההתנהלות של שחם ביצירת קשרים אינטימיים עם שוטרות צעירות, תוך שמירתם בסוד, תוך הפרת האיסורים על קיום יחסים ותוך העמדת עצמו במצב פוטנציאלי של ניגוד עניינים כדי להרשיעו בעבירה של הפרת אמונים. ודאי די בדפוס התנהלותו פועלו, פעם אחר פעם, במצב של ניגוד עניינים לאחר יצירת הקשרים וקיומם. על אחת כמה וכמה כששני הדפוסים משתלבים גם יחד, ודאי שהם עולים כדי עבירה אחת של מרמה והפרת אמונים</w:t>
      </w:r>
      <w:r>
        <w:rPr>
          <w:rFonts w:ascii="David" w:hAnsi="David"/>
          <w:rtl/>
        </w:rPr>
        <w:t xml:space="preserve">" (עמ' 78 בפסק דינו של בית המשפט המחוזי). </w:t>
      </w:r>
    </w:p>
    <w:p w:rsidR="00B01C7F" w:rsidRDefault="00B01C7F" w:rsidP="00B01C7F">
      <w:pPr>
        <w:spacing w:line="360" w:lineRule="auto"/>
        <w:ind w:left="357"/>
        <w:contextualSpacing/>
        <w:jc w:val="both"/>
        <w:rPr>
          <w:rFonts w:ascii="David" w:hAnsi="David"/>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שחם הגיש בקשת רשות ערעור על פסק דינו של בית המשפט המחוזי. בית המשפט העליון נעתר לבקשה למתן רשות לערער בשאלה אחת -  האם ניתן להרשיע נאשם בעבירה של מרמה והפרת אמונים של עובד ציבור בשל דפוס התנהגות חוזר ונשנה שנהג בו, אף אם כל מעשה ומעשה כשהוא עומד לבדו, אינו מגבש עבירה פלילית?. הערעור נדחה כאמור בפסק דינו של בית המשפט העליון בדעת רוב מפי המשנה לנשיאה, כבוד השופט נ' הנדל שאליו הצטרפה כבוד השופטת י' וילנר וכנגד דעתו החולקת של כבוד השופט י' אלרון. </w:t>
      </w:r>
    </w:p>
    <w:p w:rsidR="00B01C7F" w:rsidRDefault="00B01C7F" w:rsidP="00B01C7F">
      <w:pPr>
        <w:spacing w:after="160" w:line="360" w:lineRule="auto"/>
        <w:ind w:left="357"/>
        <w:jc w:val="both"/>
        <w:rPr>
          <w:rFonts w:ascii="David" w:hAnsi="David"/>
          <w:rtl/>
        </w:rPr>
      </w:pPr>
      <w:r>
        <w:rPr>
          <w:rFonts w:ascii="David" w:hAnsi="David"/>
          <w:rtl/>
        </w:rPr>
        <w:lastRenderedPageBreak/>
        <w:t xml:space="preserve">בקשה לקיים דיון נוסף על פסק דינו של בית המשפט העליון, נדחתה (דנ"פ 8227/21 </w:t>
      </w:r>
      <w:r>
        <w:rPr>
          <w:rFonts w:ascii="David" w:hAnsi="David"/>
          <w:b/>
          <w:bCs/>
          <w:rtl/>
        </w:rPr>
        <w:t xml:space="preserve">שחם נ' מדינת ישראל </w:t>
      </w:r>
      <w:r>
        <w:rPr>
          <w:rFonts w:ascii="David" w:hAnsi="David"/>
          <w:rtl/>
        </w:rPr>
        <w:t xml:space="preserve">(16.1.2022)). </w:t>
      </w:r>
    </w:p>
    <w:p w:rsidR="00B01C7F" w:rsidRDefault="00B01C7F" w:rsidP="00B01C7F">
      <w:pPr>
        <w:pStyle w:val="af0"/>
        <w:spacing w:after="0" w:line="360" w:lineRule="auto"/>
        <w:ind w:left="357"/>
        <w:contextualSpacing w:val="0"/>
        <w:jc w:val="both"/>
        <w:rPr>
          <w:rFonts w:ascii="David" w:hAnsi="David" w:cs="David"/>
          <w:sz w:val="24"/>
          <w:szCs w:val="24"/>
          <w:rtl/>
        </w:rPr>
      </w:pPr>
    </w:p>
    <w:p w:rsidR="00B01C7F" w:rsidRDefault="00B01C7F" w:rsidP="00B01C7F">
      <w:pPr>
        <w:spacing w:line="360" w:lineRule="auto"/>
        <w:ind w:left="357"/>
        <w:rPr>
          <w:rFonts w:ascii="David" w:hAnsi="David"/>
          <w:b/>
          <w:bCs/>
          <w:rtl/>
        </w:rPr>
      </w:pPr>
      <w:r>
        <w:rPr>
          <w:rFonts w:ascii="David" w:hAnsi="David"/>
          <w:b/>
          <w:bCs/>
          <w:rtl/>
        </w:rPr>
        <w:t xml:space="preserve">דיון </w:t>
      </w: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דיוננו מתמקד כאמור בשלב החקירה שהובילה לחשיפת הפרשה ולהגשת כתב האישום.</w:t>
      </w:r>
    </w:p>
    <w:p w:rsidR="00B01C7F" w:rsidRDefault="00B01C7F" w:rsidP="00B01C7F">
      <w:pPr>
        <w:spacing w:line="360" w:lineRule="auto"/>
        <w:ind w:left="357"/>
        <w:jc w:val="both"/>
        <w:rPr>
          <w:rFonts w:ascii="David" w:hAnsi="David"/>
          <w:rtl/>
        </w:rPr>
      </w:pPr>
      <w:r>
        <w:rPr>
          <w:rFonts w:ascii="David" w:hAnsi="David"/>
          <w:rtl/>
        </w:rPr>
        <w:t xml:space="preserve">בפתח הדברים יאמר בקול רם וצלול כי נוכח החשדות לביצוע עבירות מין או קיום יחסים אינטימיים בין מי שהיה בעל דרגה בכירה ביותר במשטרה לבין שוטרות זוטרות שהיו עמו ביחסי כפיפות, מדובר היה בחקירה חשובה שנדרשה לצורך מיגור התופעה של הטרדות ופגיעות מיניות על-ידי בעלי דרגות בכירות, ולצורך קידום תרבות ארגונית של שמירה על טוהר המידות וקיום סביבת עבודה בטוחה. </w:t>
      </w:r>
    </w:p>
    <w:p w:rsidR="00B01C7F" w:rsidRDefault="00B01C7F" w:rsidP="00B01C7F">
      <w:pPr>
        <w:spacing w:line="360" w:lineRule="auto"/>
        <w:ind w:left="357"/>
        <w:jc w:val="both"/>
        <w:rPr>
          <w:rFonts w:ascii="David" w:hAnsi="David"/>
          <w:rtl/>
        </w:rPr>
      </w:pPr>
      <w:r>
        <w:rPr>
          <w:rFonts w:ascii="David" w:hAnsi="David"/>
          <w:rtl/>
        </w:rPr>
        <w:t xml:space="preserve">נקודת המוצא למסענו היא אפוא כי מדובר היה בחקירה שביסודה עמד אינטרס ציבורי חשוב. </w:t>
      </w:r>
    </w:p>
    <w:p w:rsidR="00B01C7F" w:rsidRDefault="00B01C7F" w:rsidP="00B01C7F">
      <w:pPr>
        <w:spacing w:line="360" w:lineRule="auto"/>
        <w:ind w:left="357"/>
        <w:jc w:val="both"/>
        <w:rPr>
          <w:rFonts w:ascii="David" w:hAnsi="David"/>
          <w:rtl/>
        </w:rPr>
      </w:pPr>
      <w:r>
        <w:rPr>
          <w:rFonts w:ascii="David" w:hAnsi="David"/>
          <w:rtl/>
        </w:rPr>
        <w:t xml:space="preserve">עם זאת, המטרה אינה מקדשת את כל האמצעים. גם כאשר מדובר בחקירה חשובה שיש אינטרס ציבורי מובהק בקיומה, יש לנהל את החקירה בהתאם להוראות הדין ובזהירות הראויה זאת תוך שמירה על זכויותיהן וכבודן של מי שנחקרו כעדות או כנפגעות עבירה פוטנציאליות. </w:t>
      </w:r>
    </w:p>
    <w:p w:rsidR="00B01C7F" w:rsidRDefault="00B01C7F" w:rsidP="00B01C7F">
      <w:pPr>
        <w:pStyle w:val="af0"/>
        <w:spacing w:line="360" w:lineRule="auto"/>
        <w:ind w:left="357"/>
        <w:jc w:val="both"/>
        <w:rPr>
          <w:rFonts w:ascii="David" w:hAnsi="David" w:cs="David"/>
          <w:sz w:val="24"/>
          <w:szCs w:val="24"/>
          <w:rtl/>
        </w:rPr>
      </w:pPr>
      <w:r>
        <w:rPr>
          <w:rFonts w:ascii="David" w:hAnsi="David" w:cs="David"/>
          <w:sz w:val="24"/>
          <w:szCs w:val="24"/>
          <w:rtl/>
        </w:rPr>
        <w:t>הדיון יתמקד על כן בשאלה אחת ויחידה - האם חקירתן של התובעות או מי מהן, חרגה מהמותר והסביר בנסיבות העניין באופן שמקים להן עילת תביעה בנזיקין?.</w:t>
      </w:r>
    </w:p>
    <w:p w:rsidR="00B01C7F" w:rsidRDefault="00B01C7F" w:rsidP="00B01C7F">
      <w:pPr>
        <w:pStyle w:val="af0"/>
        <w:spacing w:after="0" w:line="360" w:lineRule="auto"/>
        <w:ind w:left="357"/>
        <w:contextualSpacing w:val="0"/>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מקריאת הסיכומים עולה כי טענותיהן של התובעות מתייחסות הן לניהול החקירה והלגיטימיות שלה באופן כללי, הן לדרך ניהול החקירה בעניינה של כל אחת מהן בנפרד. אתייחס תחילה לטענות הכלליות שמשותפות לשתי התובעות. לאחר מכן תבחנה הטענות הספציפיות ביחס לחקירתה של כל אחת מהתובעות.</w:t>
      </w:r>
    </w:p>
    <w:p w:rsidR="00B01C7F" w:rsidRDefault="00B01C7F" w:rsidP="00B01C7F">
      <w:pPr>
        <w:pStyle w:val="af0"/>
        <w:spacing w:line="360" w:lineRule="auto"/>
        <w:ind w:left="357"/>
        <w:jc w:val="both"/>
        <w:rPr>
          <w:rFonts w:ascii="David" w:hAnsi="David" w:cs="David"/>
          <w:sz w:val="24"/>
          <w:szCs w:val="24"/>
        </w:rPr>
      </w:pPr>
    </w:p>
    <w:p w:rsidR="00B01C7F" w:rsidRDefault="00B01C7F" w:rsidP="00B01C7F">
      <w:pPr>
        <w:spacing w:line="360" w:lineRule="auto"/>
        <w:ind w:left="357"/>
        <w:rPr>
          <w:rFonts w:ascii="David" w:hAnsi="David"/>
          <w:b/>
          <w:bCs/>
        </w:rPr>
      </w:pPr>
      <w:r>
        <w:rPr>
          <w:rFonts w:ascii="David" w:hAnsi="David"/>
          <w:b/>
          <w:bCs/>
          <w:rtl/>
        </w:rPr>
        <w:t>"התובעות לא רצו שאיש יידע על מערכת היחסים" - היקפה של הזכות לפרטיות.</w:t>
      </w: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כל אחת מהתובעות ניהלה מערכת יחסים אינטימית עם שחם בתקופות ובנסיבות שונות. לטענת התובעות, מדובר היה במערכת יחסים שנוהלה בהסכמה והן "</w:t>
      </w:r>
      <w:r>
        <w:rPr>
          <w:rFonts w:ascii="David" w:hAnsi="David" w:cs="David"/>
          <w:b/>
          <w:bCs/>
          <w:sz w:val="24"/>
          <w:szCs w:val="24"/>
          <w:rtl/>
        </w:rPr>
        <w:t xml:space="preserve">לא רצו שאף אדם בעולם יידע על מערכות היחסים האישיות הללו" </w:t>
      </w:r>
      <w:r>
        <w:rPr>
          <w:rFonts w:ascii="David" w:hAnsi="David" w:cs="David"/>
          <w:sz w:val="24"/>
          <w:szCs w:val="24"/>
          <w:rtl/>
        </w:rPr>
        <w:t xml:space="preserve">(סעיף 2 לסיכומים מטעם התובעות). </w:t>
      </w:r>
    </w:p>
    <w:p w:rsidR="00B01C7F" w:rsidRDefault="00B01C7F" w:rsidP="00B01C7F">
      <w:pPr>
        <w:pStyle w:val="af0"/>
        <w:spacing w:line="360" w:lineRule="auto"/>
        <w:ind w:left="357"/>
        <w:jc w:val="both"/>
        <w:rPr>
          <w:rFonts w:ascii="David" w:hAnsi="David" w:cs="David"/>
          <w:sz w:val="24"/>
          <w:szCs w:val="24"/>
        </w:rPr>
      </w:pPr>
      <w:r>
        <w:rPr>
          <w:rFonts w:ascii="David" w:hAnsi="David" w:cs="David"/>
          <w:sz w:val="24"/>
          <w:szCs w:val="24"/>
          <w:rtl/>
        </w:rPr>
        <w:t>התובעות מוסיפות וטוענות כי כיבוד רצונן לשמור את דבר ניהול מערכת היחסים האינטימית לעצמן, מעוגן בזכות היסוד לכבוד, הגנה על האוטונומיה של הרצון הפרטי ושמירה על הפרטיות, וכי החוקרים פגעו בזכותן הטבעית שלא לשתף איש בתוכנה של מערכת היחסים שכל אחת מהן ניהלה עם שחם. עוד נטען כי זכות היסוד של התובעות לפרטיות ולאוטונומיה של הרצון הפרטי, גוברת באופן ברור על כל צורך חקירתי.</w:t>
      </w:r>
    </w:p>
    <w:p w:rsidR="00B01C7F" w:rsidRDefault="00B01C7F" w:rsidP="00B01C7F">
      <w:pPr>
        <w:spacing w:line="360" w:lineRule="auto"/>
        <w:ind w:left="357"/>
        <w:contextualSpacing/>
        <w:jc w:val="both"/>
        <w:rPr>
          <w:rFonts w:ascii="David" w:hAnsi="David"/>
          <w:rtl/>
        </w:rPr>
      </w:pPr>
      <w:r>
        <w:rPr>
          <w:rFonts w:ascii="David" w:hAnsi="David"/>
          <w:rtl/>
        </w:rPr>
        <w:t>אין בידי לקבל טענות אלו.</w:t>
      </w:r>
    </w:p>
    <w:p w:rsidR="00B01C7F" w:rsidRDefault="00B01C7F" w:rsidP="009C7D2A">
      <w:pPr>
        <w:pStyle w:val="af0"/>
        <w:spacing w:after="0" w:line="360" w:lineRule="auto"/>
        <w:ind w:left="357"/>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סעיף 7(א) לחוק יסוד: כבוד האדם וחירותו קובע: "</w:t>
      </w:r>
      <w:r>
        <w:rPr>
          <w:rFonts w:ascii="David" w:hAnsi="David" w:cs="David"/>
          <w:b/>
          <w:bCs/>
          <w:sz w:val="24"/>
          <w:szCs w:val="24"/>
          <w:rtl/>
        </w:rPr>
        <w:t>כל אדם זכאי לפרטיות ולצנעת חייו</w:t>
      </w:r>
      <w:r>
        <w:rPr>
          <w:rFonts w:ascii="David" w:hAnsi="David" w:cs="David"/>
          <w:sz w:val="24"/>
          <w:szCs w:val="24"/>
          <w:rtl/>
        </w:rPr>
        <w:t xml:space="preserve">".   </w:t>
      </w:r>
    </w:p>
    <w:p w:rsidR="00B01C7F" w:rsidRDefault="00B01C7F" w:rsidP="00B01C7F">
      <w:pPr>
        <w:spacing w:line="360" w:lineRule="auto"/>
        <w:ind w:left="357"/>
        <w:jc w:val="both"/>
        <w:rPr>
          <w:rFonts w:ascii="David" w:hAnsi="David"/>
          <w:rtl/>
        </w:rPr>
      </w:pPr>
      <w:r>
        <w:rPr>
          <w:rFonts w:ascii="David" w:hAnsi="David"/>
          <w:rtl/>
        </w:rPr>
        <w:t xml:space="preserve">ברע"פ 4743/20 </w:t>
      </w:r>
      <w:r>
        <w:rPr>
          <w:rFonts w:ascii="David" w:hAnsi="David"/>
          <w:b/>
          <w:bCs/>
          <w:rtl/>
        </w:rPr>
        <w:t>לייבל נ' מדינת ישראל</w:t>
      </w:r>
      <w:r>
        <w:rPr>
          <w:rFonts w:ascii="David" w:hAnsi="David"/>
          <w:rtl/>
        </w:rPr>
        <w:t>, (21.7.2022) (להלן:</w:t>
      </w:r>
      <w:r>
        <w:rPr>
          <w:rFonts w:ascii="David" w:hAnsi="David"/>
          <w:b/>
          <w:bCs/>
          <w:rtl/>
        </w:rPr>
        <w:t>"לייבל"</w:t>
      </w:r>
      <w:r>
        <w:rPr>
          <w:rFonts w:ascii="David" w:hAnsi="David"/>
          <w:rtl/>
        </w:rPr>
        <w:t>), נפסק כי הזכות לפרטיות כוללת מספר היבטים שהמרכזיים שבהם הם "</w:t>
      </w:r>
      <w:r>
        <w:rPr>
          <w:rFonts w:ascii="David" w:hAnsi="David"/>
          <w:b/>
          <w:bCs/>
          <w:rtl/>
        </w:rPr>
        <w:t>הזכות להיעזב במנוחה</w:t>
      </w:r>
      <w:r>
        <w:rPr>
          <w:rFonts w:ascii="David" w:hAnsi="David"/>
          <w:rtl/>
        </w:rPr>
        <w:t>" וזכות "</w:t>
      </w:r>
      <w:r>
        <w:rPr>
          <w:rFonts w:ascii="David" w:hAnsi="David"/>
          <w:b/>
          <w:bCs/>
          <w:rtl/>
        </w:rPr>
        <w:t>השליטה של האדם במידע הפרטי שלו</w:t>
      </w:r>
      <w:r>
        <w:rPr>
          <w:rFonts w:ascii="David" w:hAnsi="David"/>
          <w:rtl/>
        </w:rPr>
        <w:t xml:space="preserve">" . כדברי כבוד המשנה לנשיאה, השופט נ' הנדל: </w:t>
      </w:r>
      <w:r>
        <w:rPr>
          <w:rFonts w:ascii="David" w:hAnsi="David"/>
          <w:b/>
          <w:bCs/>
          <w:rtl/>
        </w:rPr>
        <w:t>"פרטיות כשליטה - משקפת היבט רחב יותר מהגדרתה כזכות להיעזב במנוחה. מדובר בשליטה של האדם בעצמו ובעיקר במידע על אודותיו. זו שליטת האדם ביחידה האוטונומית שסביבו, המממשת את כוח הבחירה וההחלטה שלו: "הפרטיות מתמקדת במצבים שונים שבהם יש איומים על יכולתו של אדם לשלוט בעצמו ומבקשת להפקיד בידיו שליטה אפקטיבית במידע על אודותיו, במידע שהוא מפיק ומייצר אגב חייו היום-יומיים ובמידע שיש לאחרים עליו. השליטה היא בכל סוג של מרחב פרטי: במקומות שבשליטתנו, בתקשורת שלנו, במידע שלנו (...בכל סוג של מידע, לא רק מידע 'רגיש') ובהחלטות שלנו" (בירנהק, מרחב פרטי, בעמוד 108)"</w:t>
      </w:r>
      <w:r>
        <w:rPr>
          <w:rFonts w:ascii="David" w:hAnsi="David"/>
          <w:rtl/>
        </w:rPr>
        <w:t xml:space="preserve"> (פסקה 18).</w:t>
      </w:r>
    </w:p>
    <w:p w:rsidR="00B01C7F" w:rsidRDefault="00B01C7F" w:rsidP="00B01C7F">
      <w:pPr>
        <w:spacing w:line="360" w:lineRule="auto"/>
        <w:ind w:left="357"/>
        <w:jc w:val="both"/>
        <w:rPr>
          <w:rFonts w:ascii="David" w:hAnsi="David"/>
          <w:rtl/>
        </w:rPr>
      </w:pPr>
      <w:r>
        <w:rPr>
          <w:rFonts w:ascii="David" w:hAnsi="David"/>
          <w:rtl/>
        </w:rPr>
        <w:t xml:space="preserve">דומה כי לא יכולה להיות מחלוקת שמערכת יחסים אינטימית נכללת בגדר ענין הקשור לחייו הפרטיים של אדם. ניתן אף לומר שמדובר בעניין שמצוי בליבת הזכות לפרטיות ולצנעת חייו של אדם. </w:t>
      </w:r>
    </w:p>
    <w:p w:rsidR="00B01C7F" w:rsidRDefault="00B01C7F" w:rsidP="00B01C7F">
      <w:pPr>
        <w:pStyle w:val="af0"/>
        <w:spacing w:line="360" w:lineRule="auto"/>
        <w:ind w:left="357"/>
        <w:jc w:val="both"/>
        <w:rPr>
          <w:rFonts w:ascii="David" w:hAnsi="David" w:cs="David"/>
          <w:sz w:val="24"/>
          <w:szCs w:val="24"/>
          <w:rtl/>
        </w:rPr>
      </w:pPr>
      <w:r>
        <w:rPr>
          <w:rFonts w:ascii="David" w:hAnsi="David" w:cs="David"/>
          <w:sz w:val="24"/>
          <w:szCs w:val="24"/>
          <w:rtl/>
        </w:rPr>
        <w:t xml:space="preserve">עם זאת, זכות היסוד לפרטיות, ככל זכות יסוד אחרת, אינה זכות מוחלטת אלא זכות יחסית שהיקפה נגזר ממהותם ומשקלם של האינטרסים המנוגדים, ראו לעניין זה דברי כבוד השופטת י' וילנר, בפסק דינה בעניין </w:t>
      </w:r>
      <w:r>
        <w:rPr>
          <w:rFonts w:ascii="David" w:hAnsi="David" w:cs="David"/>
          <w:b/>
          <w:bCs/>
          <w:sz w:val="24"/>
          <w:szCs w:val="24"/>
          <w:rtl/>
        </w:rPr>
        <w:t xml:space="preserve">לייבל: "...ככל הזכויות, גם הזכות לפרטיות היא יחסית, ויש לאזן בינה לבין זכויות ואינטרסים מתנגשים אחרים, ובהם זכות הציבור לדעת, הזכות לחופש ביטוי, חופש העיתונות, חופש המחקר, האינטרס הציבורי באכיפת חוק יעילה והצורך בקבלת החלטות שלטוניות על בסיס מידע אמין ורלוונטי" </w:t>
      </w:r>
      <w:r>
        <w:rPr>
          <w:rFonts w:ascii="David" w:hAnsi="David" w:cs="David"/>
          <w:sz w:val="24"/>
          <w:szCs w:val="24"/>
          <w:rtl/>
        </w:rPr>
        <w:t xml:space="preserve">(פסקה 4) (עוד ראו, בג"ץ 6650/04 </w:t>
      </w:r>
      <w:r>
        <w:rPr>
          <w:rFonts w:ascii="David" w:hAnsi="David" w:cs="David"/>
          <w:b/>
          <w:bCs/>
          <w:sz w:val="24"/>
          <w:szCs w:val="24"/>
          <w:rtl/>
        </w:rPr>
        <w:t>פלונית נ' בית הדין הרבני האיזורי בנתניה</w:t>
      </w:r>
      <w:r>
        <w:rPr>
          <w:rFonts w:ascii="David" w:hAnsi="David" w:cs="David"/>
          <w:sz w:val="24"/>
          <w:szCs w:val="24"/>
          <w:rtl/>
        </w:rPr>
        <w:t xml:space="preserve"> (14.5.2006), פסקה 9 לפסק דינו של כבוד הנשיא א' ברק; ע"א 8954/11 </w:t>
      </w:r>
      <w:r>
        <w:rPr>
          <w:rFonts w:ascii="David" w:hAnsi="David" w:cs="David"/>
          <w:b/>
          <w:bCs/>
          <w:sz w:val="24"/>
          <w:szCs w:val="24"/>
          <w:rtl/>
        </w:rPr>
        <w:t xml:space="preserve">פלוני נ' פלונית </w:t>
      </w:r>
      <w:r>
        <w:rPr>
          <w:rFonts w:ascii="David" w:hAnsi="David" w:cs="David"/>
          <w:sz w:val="24"/>
          <w:szCs w:val="24"/>
          <w:rtl/>
        </w:rPr>
        <w:t>(24.4.2014)</w:t>
      </w:r>
      <w:r>
        <w:rPr>
          <w:rFonts w:ascii="David" w:hAnsi="David" w:cs="David"/>
          <w:b/>
          <w:bCs/>
          <w:sz w:val="24"/>
          <w:szCs w:val="24"/>
          <w:rtl/>
        </w:rPr>
        <w:t>,</w:t>
      </w:r>
      <w:r>
        <w:rPr>
          <w:rFonts w:ascii="David" w:hAnsi="David" w:cs="David"/>
          <w:sz w:val="24"/>
          <w:szCs w:val="24"/>
          <w:rtl/>
        </w:rPr>
        <w:t xml:space="preserve"> פסקה 117 לפסק דינו של כבוד השופט נ' סולברג). </w:t>
      </w:r>
    </w:p>
    <w:p w:rsidR="00B01C7F" w:rsidRDefault="00B01C7F" w:rsidP="00B01C7F">
      <w:pPr>
        <w:pStyle w:val="af0"/>
        <w:spacing w:line="360" w:lineRule="auto"/>
        <w:ind w:left="357"/>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ככל שהתובעות היו מנהלות קשר אינטימי מוסכם במסגרת חייהן הפרטיים וללא קשר לשירותן במשטרה, היקפה של הזכות לפרטיות בנוגע לאותו קשר אינטימי, היה רחב ביותר. ואולם, כשמדובר ביחסים אינטימיים בין בעל דרגה בכירה במשטרה לבין שוטרות שמצויות עמו ביחסי כפיפות ישירים או עקיפים, מה שעלול להוות עבירה פלילית או למצער עבירת משמעת, האינטרס הציבורי בקיומה של חקירה לבירור נסיבות הקשר האינטימי והאם מדובר בקשר אסור שעולה כדי עבירה פלילית או עבירה משמעתית, גובר על זכותן של התובעות לפרטיות ולשמירת המידע הנוגע לאותו קשר אינטימי לעצמן. </w:t>
      </w:r>
    </w:p>
    <w:p w:rsidR="00B01C7F" w:rsidRDefault="00B01C7F" w:rsidP="009C7D2A">
      <w:pPr>
        <w:pStyle w:val="af0"/>
        <w:spacing w:after="0" w:line="360" w:lineRule="auto"/>
        <w:ind w:left="357"/>
        <w:contextualSpacing w:val="0"/>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lastRenderedPageBreak/>
        <w:t>הטענות בדבר פגיעה באוטונומיה של הפרט ופגיעה בפרטיות, נטענו על ידי שחם במסגרת ההליך הפלילי. אין לי אלא להצטרף לדברים שנקבעו בפסק דינו של בית המשפט המחוזי:</w:t>
      </w:r>
    </w:p>
    <w:p w:rsidR="00B01C7F" w:rsidRDefault="00B01C7F" w:rsidP="00B01C7F">
      <w:pPr>
        <w:spacing w:line="360" w:lineRule="auto"/>
        <w:ind w:left="357" w:right="357"/>
        <w:jc w:val="both"/>
        <w:rPr>
          <w:rFonts w:ascii="David" w:hAnsi="David"/>
          <w:b/>
          <w:bCs/>
          <w:rtl/>
        </w:rPr>
      </w:pPr>
      <w:r>
        <w:rPr>
          <w:rFonts w:ascii="David" w:hAnsi="David"/>
          <w:b/>
          <w:bCs/>
          <w:rtl/>
        </w:rPr>
        <w:t xml:space="preserve">"... הסוגיה העומדת לדיון אינה כלל ועיקר בשאלה הכללית בדבר פגיעה בחופש המיני בין בגירים, אלא אך ורק בקונטקסט המסוים והקונקרטי של קיום יחסים מיניים במסגרת העבודה, בתוך ארגון היררכי, בין עובד ציבור בעל דרגה גבוהה לכפיפה לו....  </w:t>
      </w:r>
    </w:p>
    <w:p w:rsidR="00B01C7F" w:rsidRDefault="00B01C7F" w:rsidP="009C7D2A">
      <w:pPr>
        <w:spacing w:after="160" w:line="360" w:lineRule="auto"/>
        <w:ind w:left="357" w:right="357"/>
        <w:contextualSpacing/>
        <w:jc w:val="both"/>
        <w:rPr>
          <w:rFonts w:ascii="David" w:hAnsi="David"/>
          <w:rtl/>
        </w:rPr>
      </w:pPr>
      <w:r>
        <w:rPr>
          <w:rFonts w:ascii="David" w:hAnsi="David"/>
          <w:b/>
          <w:bCs/>
          <w:rtl/>
        </w:rPr>
        <w:t>העבירה של הפרת האמונים מוקדשת כל כולה למאבק בשחיתות בשירות הציבורי, וזו לטעמי נקודת המוצא לבחינת הסוגיה. תכלית זו, כשהיא נבחנת בקונטקסט של קיום יחסים אינטימיים בין עובד ציבור בעל סמכות לכפיפה, אינה ממוקדת בהגנה על הכפיפה או בפגיעה בה, אלא בפגיעה בציבור ובהגנה על תפקודו התקין של המנהל הציבורי ועל אמון הציבור בו. פגיעה הנובעת מהתנהגותו הפסולה של עובד הציבור, שביטויה בניצול של פערי הכוחות למינוף וסיפוק צרכים אישיים... מטרת העבירה בהקשר הנדון היא למנוע עירוב של סמכות וכוח עם יחסים אינטימיים בארגון היררכי בו קיימים פערי כוחות בין בעלי התפקידים. הטעם לכך נעוץ בהכרה, שהכוח המיוחד הנלווה לתפקיד הבכיר ולמעמד הרם, מאפשר לדמויות סמכותיות להוביל אנשים הכפופים להם לשיתוף פעולה או לציות, גם אם פורמלית סמכותם אינה כוללת כוחות אלה, וזאת בשעה שהחיים הפרטיים אמורים להישאר מחוץ לשדרת הכוח והסמכות ולהיות מונחים על ידי נורמות של שוויון במובן הרחב והעמוק של המושג. תכליתה של העבירה אפוא כפולה - להבטיח שבעלי הסמכות והכוח לא ישתמשו בכוחם ובסמכותם כלפי הכפופים להם לסיפוק מאוויים ואינטרסים פרטיים, ובה בעת לשמור ולהגן על האינטרס הציבורי עליו הם מופקדים.... מאחר שהפגיעה העומדת במוקד הדיון אינה הפגיעה בכפיפות, אלא הפגיעה בציבור, אין זה משנה אם היחסים האינטימיים שקיים שחם עם השוטרות היו בהסכמה חופשית שלהן או בהסכמה שהושגה על-ידו בשל ניצול המרות"</w:t>
      </w:r>
      <w:r>
        <w:rPr>
          <w:rFonts w:ascii="David" w:hAnsi="David"/>
          <w:rtl/>
        </w:rPr>
        <w:t xml:space="preserve"> (עמ' 32 - 33 בפסק הדין). </w:t>
      </w:r>
    </w:p>
    <w:p w:rsidR="00B01C7F" w:rsidRDefault="00B01C7F" w:rsidP="009C7D2A">
      <w:pPr>
        <w:pStyle w:val="af0"/>
        <w:spacing w:after="0" w:line="360" w:lineRule="auto"/>
        <w:ind w:left="357"/>
        <w:contextualSpacing w:val="0"/>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b/>
          <w:bCs/>
          <w:sz w:val="24"/>
          <w:szCs w:val="24"/>
          <w:rtl/>
        </w:rPr>
      </w:pPr>
      <w:r>
        <w:rPr>
          <w:rFonts w:ascii="David" w:hAnsi="David" w:cs="David"/>
          <w:sz w:val="24"/>
          <w:szCs w:val="24"/>
          <w:rtl/>
        </w:rPr>
        <w:t>זאת ועוד, יחסים אינטימיים בין בעל דרגה בכירה לכפיפה לו, עלולים להוות עבירת משמעת. בהקשר זה נקבע בפסק דינו של בית המשפט המחוזי, כדלקמן:</w:t>
      </w:r>
    </w:p>
    <w:p w:rsidR="00B01C7F" w:rsidRDefault="00B01C7F" w:rsidP="00B01C7F">
      <w:pPr>
        <w:spacing w:line="360" w:lineRule="auto"/>
        <w:ind w:left="357" w:right="357"/>
        <w:jc w:val="both"/>
        <w:rPr>
          <w:rFonts w:ascii="David" w:hAnsi="David"/>
          <w:b/>
          <w:bCs/>
        </w:rPr>
      </w:pPr>
      <w:r>
        <w:rPr>
          <w:rFonts w:ascii="David" w:hAnsi="David"/>
          <w:rtl/>
        </w:rPr>
        <w:t xml:space="preserve"> </w:t>
      </w:r>
      <w:r>
        <w:rPr>
          <w:rFonts w:ascii="David" w:hAnsi="David" w:hint="cs"/>
          <w:b/>
          <w:bCs/>
          <w:rtl/>
        </w:rPr>
        <w:t>"... בסעיף 3 לתוספת הראשונה של חוק המשטרה מנויה עבירה משמעתית של ״התנהגות שאינה הולמת שוטר או שיש בה כדי לפגוע בתדמית המשטרה״. קיום יחסים אינטימיים בהסכמה בין שוטר לכפיפה שמתקיימים ביניהם יחסי מרות היא אחת מאותן התנהגויות אשר נכללות תחת עבירה משמעתית זו – זוהי קביעתו של בית הדין המשמעתי של משטרת ישראל...</w:t>
      </w:r>
    </w:p>
    <w:p w:rsidR="00B01C7F" w:rsidRDefault="00B01C7F" w:rsidP="009C7D2A">
      <w:pPr>
        <w:spacing w:after="160" w:line="360" w:lineRule="auto"/>
        <w:ind w:left="357" w:right="357"/>
        <w:contextualSpacing/>
        <w:jc w:val="both"/>
        <w:rPr>
          <w:rFonts w:ascii="David" w:hAnsi="David"/>
          <w:rtl/>
        </w:rPr>
      </w:pPr>
      <w:r>
        <w:rPr>
          <w:rFonts w:ascii="David" w:hAnsi="David"/>
          <w:b/>
          <w:bCs/>
          <w:rtl/>
        </w:rPr>
        <w:t xml:space="preserve">... על קיומו של איסור נורמטיבי זה במסגרת המשטרה ומודעותו לו העיד במפורש אף שחם בעצמו. בחקירותיו הראשונות במחלקה לחקירות שוטרים אישר, חזור ואישר, כי </w:t>
      </w:r>
      <w:r>
        <w:rPr>
          <w:rFonts w:ascii="David" w:hAnsi="David"/>
          <w:b/>
          <w:bCs/>
          <w:rtl/>
        </w:rPr>
        <w:lastRenderedPageBreak/>
        <w:t>הוא מודע היטב לכך, שחל על קצין משטרה איסור לקיים יחסים אינטימיים עם כפיפות לו... "</w:t>
      </w:r>
      <w:r>
        <w:rPr>
          <w:rFonts w:ascii="David" w:hAnsi="David"/>
          <w:rtl/>
        </w:rPr>
        <w:t xml:space="preserve"> (עמ' 35 - 37 בפסק הדין). </w:t>
      </w:r>
    </w:p>
    <w:p w:rsidR="00B01C7F" w:rsidRDefault="00B01C7F" w:rsidP="009C7D2A">
      <w:pPr>
        <w:pStyle w:val="af0"/>
        <w:spacing w:after="0" w:line="360" w:lineRule="auto"/>
        <w:ind w:left="357"/>
        <w:contextualSpacing w:val="0"/>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משכך הם פני הדברים, דומה כי התובעות שהן בעצמן שוטרות, האחת בתפקיד של חוקרת והשנייה - קצינה שהיא תובעת משטרתית, היו יכולות לצפות כי ניהול קשר אינטימי עם בעל דרגה בכירה שהן מצויות עמו ביחסי כפיפות ישירים או עקיפים, עלול להיות נושא לחקירה או לבירור משמעתי גם אם מדובר ביחסים בהסכמה, וכי בנסיבות אלה, המידע לגבי הקשר האסור, לא יהא נחלתן בלבד. </w:t>
      </w:r>
    </w:p>
    <w:p w:rsidR="00B01C7F" w:rsidRDefault="00B01C7F" w:rsidP="00B01C7F">
      <w:pPr>
        <w:spacing w:line="360" w:lineRule="auto"/>
        <w:ind w:left="357"/>
        <w:jc w:val="both"/>
        <w:rPr>
          <w:rFonts w:ascii="David" w:hAnsi="David"/>
          <w:rtl/>
        </w:rPr>
      </w:pPr>
      <w:r>
        <w:rPr>
          <w:rFonts w:ascii="David" w:hAnsi="David"/>
          <w:rtl/>
        </w:rPr>
        <w:t>יצוין בהקשר זה כי התובעת 1, אישרה בחקירתה הנגדית כי כשמדובר בחשד לעבירה של הפרת אמונים בשל קיום יחסי מין בהסכמה בין בעל דרגה בכירה לכפיפה לו, יש צורך לחקור ולברר את העובדות, וכדבריה: "</w:t>
      </w:r>
      <w:r>
        <w:rPr>
          <w:rFonts w:ascii="David" w:hAnsi="David"/>
          <w:b/>
          <w:bCs/>
          <w:rtl/>
        </w:rPr>
        <w:t>נכון. אני לא באה ואומרת שלא היה מקום לחקירה, אני לא באה ומוחה פה על עצם זה שנפתחה חקירה, ממש לא"</w:t>
      </w:r>
      <w:r>
        <w:rPr>
          <w:rFonts w:ascii="David" w:hAnsi="David"/>
          <w:rtl/>
        </w:rPr>
        <w:t>.</w:t>
      </w:r>
      <w:r>
        <w:rPr>
          <w:rFonts w:ascii="David" w:hAnsi="David"/>
          <w:b/>
          <w:bCs/>
          <w:rtl/>
        </w:rPr>
        <w:t xml:space="preserve"> </w:t>
      </w:r>
      <w:r>
        <w:rPr>
          <w:rFonts w:ascii="David" w:hAnsi="David"/>
          <w:rtl/>
        </w:rPr>
        <w:t>עם זאת, הוסיפה וציינה כי צריך לברר את העובדות בצורה ראויה, וכדבריה: "</w:t>
      </w:r>
      <w:r>
        <w:rPr>
          <w:rFonts w:ascii="David" w:hAnsi="David"/>
          <w:b/>
          <w:bCs/>
          <w:rtl/>
        </w:rPr>
        <w:t>רכיבים עובדתיים, לא לרמוס, לא להשפיל, לא להטריד, לא לאיים..."</w:t>
      </w:r>
      <w:r>
        <w:rPr>
          <w:rFonts w:ascii="David" w:hAnsi="David"/>
          <w:rtl/>
        </w:rPr>
        <w:t xml:space="preserve"> (עמ' 21 - 22 לפרוטוקול. כן ראו עדות התובעת 2 בעמ' 73 ו-82 לפרוטוקול).</w:t>
      </w:r>
    </w:p>
    <w:p w:rsidR="00B01C7F" w:rsidRDefault="00B01C7F" w:rsidP="009C7D2A">
      <w:pPr>
        <w:spacing w:after="160" w:line="360" w:lineRule="auto"/>
        <w:ind w:left="357"/>
        <w:contextualSpacing/>
        <w:jc w:val="both"/>
        <w:rPr>
          <w:rFonts w:ascii="David" w:hAnsi="David"/>
          <w:rtl/>
        </w:rPr>
      </w:pPr>
      <w:r>
        <w:rPr>
          <w:rFonts w:ascii="David" w:hAnsi="David"/>
          <w:rtl/>
        </w:rPr>
        <w:t>נראה אם כן שאין יסוד לטענה כי עצם החקירה בעניין הקשר האינטימי שהתנהל בין שחם לכל אחת מהתובעות מהווה פגיעה בזכותן של התובעות לפרטיות</w:t>
      </w:r>
      <w:r>
        <w:rPr>
          <w:rFonts w:ascii="David" w:hAnsi="David"/>
        </w:rPr>
        <w:t xml:space="preserve"> </w:t>
      </w:r>
      <w:r>
        <w:rPr>
          <w:rFonts w:ascii="David" w:hAnsi="David"/>
          <w:rtl/>
        </w:rPr>
        <w:t xml:space="preserve">ולשמירת המידע על מערכת היחסים שניהלו עם שחם לעצמן. </w:t>
      </w:r>
    </w:p>
    <w:p w:rsidR="00B01C7F" w:rsidRDefault="00B01C7F" w:rsidP="009C7D2A">
      <w:pPr>
        <w:pStyle w:val="af0"/>
        <w:spacing w:after="0" w:line="360" w:lineRule="auto"/>
        <w:ind w:left="357"/>
        <w:jc w:val="both"/>
        <w:rPr>
          <w:rFonts w:ascii="David" w:hAnsi="David" w:cs="David"/>
          <w:sz w:val="24"/>
          <w:szCs w:val="24"/>
          <w:rtl/>
        </w:rPr>
      </w:pPr>
    </w:p>
    <w:p w:rsidR="00B01C7F" w:rsidRDefault="00B01C7F" w:rsidP="00B01C7F">
      <w:pPr>
        <w:spacing w:line="360" w:lineRule="auto"/>
        <w:ind w:left="357"/>
        <w:rPr>
          <w:rFonts w:ascii="David" w:hAnsi="David"/>
          <w:b/>
          <w:bCs/>
          <w:rtl/>
        </w:rPr>
      </w:pPr>
      <w:r>
        <w:rPr>
          <w:rFonts w:ascii="David" w:hAnsi="David"/>
          <w:b/>
          <w:bCs/>
          <w:rtl/>
        </w:rPr>
        <w:t xml:space="preserve">זימון התובעות לחקירה מבלי לידע אותן בדבר נושא החקירה. </w:t>
      </w: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לטענת התובעות, זימונן לחקירה תוך ביצוע "תרגיל", מבלי שנאמר להן מהו נושא החקירה, נועד להפתיע אותן כדי להציל מפיהן דברים שהן לא היו רוצות למסור אם היתה להן אפשרות להתייעץ בדבר זכויותיהן וכי נמנעה מהן האפשרות לבחור אם להגיע לחקירה. </w:t>
      </w:r>
    </w:p>
    <w:p w:rsidR="00B01C7F" w:rsidRDefault="00B01C7F" w:rsidP="009C7D2A">
      <w:pPr>
        <w:pStyle w:val="af0"/>
        <w:spacing w:after="0" w:line="360" w:lineRule="auto"/>
        <w:ind w:left="357"/>
        <w:contextualSpacing w:val="0"/>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התובעות זומנו לחקירה בשלבים מוקדמים של החקירה, זאת לאחר שהתגבש חשד שהן קיימו יחסים אינטימיים עם שחם ולאחר ששחם עצמו נחקר ביום 25.7.2012 והודה בקיום קשרים מיניים עם מספר שוטרות לאורך השנים (סעיפים 5-8 לתצהירו של עו"ד רונן יצחק, מנהל מחלקה במח"ש, להלן: "</w:t>
      </w:r>
      <w:r>
        <w:rPr>
          <w:rFonts w:ascii="David" w:hAnsi="David" w:cs="David"/>
          <w:b/>
          <w:bCs/>
          <w:sz w:val="24"/>
          <w:szCs w:val="24"/>
          <w:rtl/>
        </w:rPr>
        <w:t>עו"ד יצחק</w:t>
      </w:r>
      <w:r>
        <w:rPr>
          <w:rFonts w:ascii="David" w:hAnsi="David" w:cs="David"/>
          <w:sz w:val="24"/>
          <w:szCs w:val="24"/>
          <w:rtl/>
        </w:rPr>
        <w:t>").</w:t>
      </w:r>
    </w:p>
    <w:p w:rsidR="00B01C7F" w:rsidRDefault="00B01C7F" w:rsidP="00B01C7F">
      <w:pPr>
        <w:spacing w:line="360" w:lineRule="auto"/>
        <w:ind w:left="357"/>
        <w:jc w:val="both"/>
        <w:rPr>
          <w:rFonts w:ascii="David" w:hAnsi="David"/>
        </w:rPr>
      </w:pPr>
      <w:r>
        <w:rPr>
          <w:rFonts w:ascii="David" w:hAnsi="David"/>
          <w:rtl/>
        </w:rPr>
        <w:t xml:space="preserve">התובעת 1 זומנה למשרדי מח"ש תוך שנאמר לה שהיא מתבקשת להתייצב לחקירה בעניין שקשור בתחנה שבה שירתה באותה עת. </w:t>
      </w:r>
    </w:p>
    <w:p w:rsidR="00B01C7F" w:rsidRDefault="00B01C7F" w:rsidP="00B01C7F">
      <w:pPr>
        <w:spacing w:line="360" w:lineRule="auto"/>
        <w:ind w:left="357"/>
        <w:jc w:val="both"/>
        <w:rPr>
          <w:rFonts w:ascii="David" w:hAnsi="David"/>
          <w:rtl/>
        </w:rPr>
      </w:pPr>
    </w:p>
    <w:p w:rsidR="00B01C7F" w:rsidRDefault="00B01C7F" w:rsidP="00B01C7F">
      <w:pPr>
        <w:spacing w:line="360" w:lineRule="auto"/>
        <w:ind w:left="357"/>
        <w:jc w:val="both"/>
        <w:rPr>
          <w:rFonts w:ascii="David" w:hAnsi="David"/>
          <w:rtl/>
        </w:rPr>
      </w:pPr>
      <w:r>
        <w:rPr>
          <w:rFonts w:ascii="David" w:hAnsi="David"/>
          <w:rtl/>
        </w:rPr>
        <w:t>גם לתובעת 2 לא נאמר שהיא מוזמנת לחקירה בנוגע לשחם או בקשר ליחסיה עמו.</w:t>
      </w:r>
    </w:p>
    <w:p w:rsidR="009C7D2A" w:rsidRDefault="009C7D2A" w:rsidP="00B01C7F">
      <w:pPr>
        <w:spacing w:line="360" w:lineRule="auto"/>
        <w:ind w:left="357"/>
        <w:jc w:val="both"/>
        <w:rPr>
          <w:rFonts w:ascii="David" w:hAnsi="David"/>
          <w:rtl/>
        </w:rPr>
      </w:pPr>
    </w:p>
    <w:p w:rsidR="009C7D2A" w:rsidRDefault="009C7D2A" w:rsidP="00B01C7F">
      <w:pPr>
        <w:spacing w:line="360" w:lineRule="auto"/>
        <w:ind w:left="357"/>
        <w:jc w:val="both"/>
        <w:rPr>
          <w:rFonts w:ascii="David" w:hAnsi="David"/>
          <w:rtl/>
        </w:rPr>
      </w:pPr>
    </w:p>
    <w:p w:rsidR="009C7D2A" w:rsidRDefault="009C7D2A" w:rsidP="00B01C7F">
      <w:pPr>
        <w:spacing w:line="360" w:lineRule="auto"/>
        <w:ind w:left="357"/>
        <w:jc w:val="both"/>
        <w:rPr>
          <w:rFonts w:ascii="David" w:hAnsi="David"/>
          <w:rtl/>
        </w:rPr>
      </w:pPr>
    </w:p>
    <w:p w:rsidR="00B01C7F" w:rsidRDefault="00B01C7F" w:rsidP="00921CA2">
      <w:pPr>
        <w:spacing w:after="160" w:line="360" w:lineRule="auto"/>
        <w:ind w:left="357"/>
        <w:contextualSpacing/>
        <w:jc w:val="both"/>
        <w:rPr>
          <w:rFonts w:ascii="David" w:hAnsi="David"/>
          <w:rtl/>
        </w:rPr>
      </w:pPr>
      <w:r>
        <w:rPr>
          <w:rFonts w:ascii="David" w:hAnsi="David"/>
          <w:rtl/>
        </w:rPr>
        <w:t xml:space="preserve">בנסיבות העניין, התובעות לא ביססו את טענתן כנגד זימונן לחקירה מבלי ליידע אותן בדבר נושא החקירה, על הוראת דין או נוהל כך שעדותו של עו"ד יצחק כי זימון לחקירה באמתלת שווא, אינו חריג והוא מותר על-פי הדין, לא נסתרה (סעיף 13 בתצהירו של עו"ד יצחק). </w:t>
      </w:r>
    </w:p>
    <w:p w:rsidR="00B01C7F" w:rsidRPr="00921CA2" w:rsidRDefault="00B01C7F" w:rsidP="00921CA2">
      <w:pPr>
        <w:pStyle w:val="af0"/>
        <w:spacing w:after="0" w:line="360" w:lineRule="auto"/>
        <w:ind w:left="357"/>
        <w:contextualSpacing w:val="0"/>
        <w:jc w:val="both"/>
        <w:rPr>
          <w:rFonts w:ascii="David" w:hAnsi="David" w:cs="David"/>
          <w:sz w:val="26"/>
          <w:szCs w:val="26"/>
          <w:rtl/>
        </w:rPr>
      </w:pPr>
    </w:p>
    <w:p w:rsidR="00B01C7F" w:rsidRDefault="00B01C7F" w:rsidP="00921CA2">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עוד יש לציין כי בעת זימונה של כל אחת מהתובעות לחקירה, דבר פתיחת החקירה נגד שחם כבר פורסם ברבים ואף היה ידוע לתובעות. </w:t>
      </w:r>
    </w:p>
    <w:p w:rsidR="00B01C7F" w:rsidRDefault="00B01C7F" w:rsidP="00B01C7F">
      <w:pPr>
        <w:spacing w:line="360" w:lineRule="auto"/>
        <w:ind w:left="357"/>
        <w:jc w:val="both"/>
        <w:rPr>
          <w:rFonts w:ascii="David" w:hAnsi="David"/>
          <w:rtl/>
        </w:rPr>
      </w:pPr>
      <w:r>
        <w:rPr>
          <w:rFonts w:ascii="David" w:hAnsi="David"/>
          <w:rtl/>
        </w:rPr>
        <w:t>התובעת 1 אישרה בחקירתה הנגדית שהיא ידעה על החקירה שנפתחה נגד שחם ואף שלחה לו הודעה לאחר שנודע לה על כך (עמ' 44 - 45 לפרוטוקול), וכי בבוקר שבו זומנה לחקירה, שמעה</w:t>
      </w:r>
      <w:r>
        <w:rPr>
          <w:rtl/>
        </w:rPr>
        <w:t xml:space="preserve"> </w:t>
      </w:r>
      <w:r>
        <w:rPr>
          <w:rFonts w:ascii="David" w:hAnsi="David"/>
          <w:rtl/>
        </w:rPr>
        <w:t xml:space="preserve">בחדשות על חקירתו של שחם (עמ' 65 לפרוטוקול). </w:t>
      </w:r>
    </w:p>
    <w:p w:rsidR="00B01C7F" w:rsidRDefault="00B01C7F" w:rsidP="00921CA2">
      <w:pPr>
        <w:spacing w:after="160" w:line="360" w:lineRule="auto"/>
        <w:ind w:left="357"/>
        <w:contextualSpacing/>
        <w:jc w:val="both"/>
        <w:rPr>
          <w:rFonts w:ascii="David" w:hAnsi="David"/>
          <w:rtl/>
        </w:rPr>
      </w:pPr>
      <w:r>
        <w:rPr>
          <w:rFonts w:ascii="David" w:hAnsi="David"/>
          <w:rtl/>
        </w:rPr>
        <w:t>התובעת 2 שנחקרה ביום 4.9.2012, למעלה מחודש לאחר פתיחת החקירה, אישרה בחקירתה הנגדית שהיא ידעה על החקירה ואף הסתמסה עם שחם לאחר פתיחת החקירה. התובעת 2 הוסיפה ואישרה בעדותה כי ביום שבו נחקרה, היא מחקה הודעות</w:t>
      </w:r>
      <w:r>
        <w:rPr>
          <w:rFonts w:ascii="David" w:hAnsi="David"/>
        </w:rPr>
        <w:t xml:space="preserve">SMS </w:t>
      </w:r>
      <w:r>
        <w:rPr>
          <w:rFonts w:ascii="David" w:hAnsi="David"/>
          <w:rtl/>
        </w:rPr>
        <w:t xml:space="preserve"> שהוחלפו בינה לבין שחם, זאת על אף שלטענתה, היא לא ידעה שזימונה לחקירה נוגע לשחם (עמ' 80 - 81 ו- 94 לפרוטוקול).</w:t>
      </w:r>
    </w:p>
    <w:p w:rsidR="00AD407A" w:rsidRPr="00921CA2" w:rsidRDefault="00AD407A" w:rsidP="00921CA2">
      <w:pPr>
        <w:spacing w:line="360" w:lineRule="auto"/>
        <w:ind w:left="357"/>
        <w:jc w:val="both"/>
        <w:rPr>
          <w:rFonts w:ascii="David" w:hAnsi="David"/>
          <w:sz w:val="26"/>
          <w:szCs w:val="26"/>
          <w:rtl/>
        </w:rPr>
      </w:pPr>
    </w:p>
    <w:p w:rsidR="00B01C7F" w:rsidRDefault="00B01C7F" w:rsidP="00921CA2">
      <w:pPr>
        <w:pStyle w:val="af0"/>
        <w:numPr>
          <w:ilvl w:val="0"/>
          <w:numId w:val="1"/>
        </w:numPr>
        <w:spacing w:line="360" w:lineRule="auto"/>
        <w:ind w:left="357" w:hanging="357"/>
        <w:jc w:val="both"/>
        <w:rPr>
          <w:rFonts w:ascii="David" w:hAnsi="David" w:cs="David"/>
          <w:b/>
          <w:bCs/>
          <w:sz w:val="24"/>
          <w:szCs w:val="24"/>
          <w:rtl/>
        </w:rPr>
      </w:pPr>
      <w:r>
        <w:rPr>
          <w:rFonts w:ascii="David" w:hAnsi="David" w:cs="David"/>
          <w:sz w:val="24"/>
          <w:szCs w:val="24"/>
          <w:rtl/>
        </w:rPr>
        <w:t xml:space="preserve">הטענה בדבר שלילת אפשרותן של התובעות לבחור אם להגיע לחקירה - אם לאו, אינה יכולה להתקבל זאת נוכח החובה שמוטלת על התובעות כשוטרות, לשתף פעולה עם חקירת מח"ש ולומר אמת בחקירה (ת"פ (שלום י-ם) 18435-03-10 </w:t>
      </w:r>
      <w:r>
        <w:rPr>
          <w:rFonts w:ascii="David" w:hAnsi="David" w:cs="David"/>
          <w:b/>
          <w:bCs/>
          <w:sz w:val="24"/>
          <w:szCs w:val="24"/>
          <w:rtl/>
        </w:rPr>
        <w:t xml:space="preserve">מדינת ישראל נ' אבו גנב </w:t>
      </w:r>
      <w:r>
        <w:rPr>
          <w:rFonts w:ascii="David" w:hAnsi="David" w:cs="David"/>
          <w:sz w:val="24"/>
          <w:szCs w:val="24"/>
          <w:rtl/>
        </w:rPr>
        <w:t xml:space="preserve">(18.4.2012),  ביד"מ 78/13 </w:t>
      </w:r>
      <w:r>
        <w:rPr>
          <w:rFonts w:ascii="David" w:hAnsi="David" w:cs="David"/>
          <w:b/>
          <w:bCs/>
          <w:sz w:val="24"/>
          <w:szCs w:val="24"/>
          <w:rtl/>
        </w:rPr>
        <w:t>משטרת ישראל נ' אבו חמד</w:t>
      </w:r>
      <w:r>
        <w:rPr>
          <w:rFonts w:ascii="David" w:hAnsi="David" w:cs="David"/>
          <w:sz w:val="24"/>
          <w:szCs w:val="24"/>
          <w:rtl/>
        </w:rPr>
        <w:t xml:space="preserve"> (27.2.2014). חובה זו אף עוגנה בשלב מאוחר יותר, לאחר האירועים נושא התביעה, בסעיף 22 לתוספת הראשונה בחוק המשטרה, התשס"ו-2006, המונה כעבירת משמעת </w:t>
      </w:r>
      <w:r>
        <w:rPr>
          <w:rFonts w:ascii="David" w:hAnsi="David" w:cs="David"/>
          <w:b/>
          <w:bCs/>
          <w:sz w:val="24"/>
          <w:szCs w:val="24"/>
          <w:rtl/>
        </w:rPr>
        <w:t>"הימנעות ממתן סיוע שביקשו נציב הקבילות, הממונה על תלונות הציבור במשטרת ישראל או המחלקה לחקירת שוטרים שבמשרד המשפטים, לשם בירור קבילה או תלונה, או לשם חקירה, וכן מסירת מידע כוזב במהלך בירור או חקירה כאמור, הכשלתם בדרך אחרת או ניסיון להכשלתם כאמור."</w:t>
      </w:r>
    </w:p>
    <w:p w:rsidR="00B01C7F" w:rsidRPr="00921CA2" w:rsidRDefault="00B01C7F" w:rsidP="00AD407A">
      <w:pPr>
        <w:pStyle w:val="af0"/>
        <w:spacing w:after="0" w:line="360" w:lineRule="auto"/>
        <w:ind w:left="357"/>
        <w:contextualSpacing w:val="0"/>
        <w:jc w:val="both"/>
        <w:rPr>
          <w:rFonts w:ascii="David" w:hAnsi="David" w:cs="David"/>
          <w:b/>
          <w:bCs/>
          <w:sz w:val="26"/>
          <w:szCs w:val="26"/>
        </w:rPr>
      </w:pPr>
    </w:p>
    <w:p w:rsidR="00B01C7F" w:rsidRDefault="00B01C7F" w:rsidP="00B01C7F">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ושוב יוזכר, התובעות עצמן אישרו בעדותן כי נוכח החשדות שעלו כנגד שחם, החקירה היתה מוצדקת, כי אין להן טענות נגד עצם החקירה וכי הן מודעות לחובה המוגברת שמוטלת עליהן כשוטרות לשתף פעולה עם רשויות החקירה (עדות התובעת 1 בעמ' 21 - 22 ו- 29 לפרוטוקול, עדות התובעת 2 בעמ' 73, 82 ו- 105 לפרוטוקול).  </w:t>
      </w:r>
    </w:p>
    <w:p w:rsidR="00C1162A" w:rsidRPr="00C1162A" w:rsidRDefault="00C1162A" w:rsidP="00C1162A">
      <w:pPr>
        <w:pStyle w:val="af0"/>
        <w:rPr>
          <w:rFonts w:ascii="David" w:hAnsi="David" w:cs="David"/>
          <w:sz w:val="24"/>
          <w:szCs w:val="24"/>
          <w:rtl/>
        </w:rPr>
      </w:pPr>
    </w:p>
    <w:p w:rsidR="00C1162A" w:rsidRDefault="00C1162A" w:rsidP="00921CA2">
      <w:pPr>
        <w:pStyle w:val="af0"/>
        <w:spacing w:line="360" w:lineRule="auto"/>
        <w:ind w:left="357"/>
        <w:jc w:val="both"/>
        <w:rPr>
          <w:rFonts w:ascii="David" w:hAnsi="David" w:cs="David"/>
          <w:sz w:val="24"/>
          <w:szCs w:val="24"/>
          <w:rtl/>
        </w:rPr>
      </w:pPr>
    </w:p>
    <w:p w:rsidR="00921CA2" w:rsidRDefault="00921CA2" w:rsidP="00921CA2">
      <w:pPr>
        <w:pStyle w:val="af0"/>
        <w:spacing w:line="360" w:lineRule="auto"/>
        <w:ind w:left="357"/>
        <w:jc w:val="both"/>
        <w:rPr>
          <w:rFonts w:ascii="David" w:hAnsi="David" w:cs="David"/>
          <w:sz w:val="24"/>
          <w:szCs w:val="24"/>
          <w:rtl/>
        </w:rPr>
      </w:pPr>
    </w:p>
    <w:p w:rsidR="00B01C7F" w:rsidRDefault="00B01C7F" w:rsidP="00B01C7F">
      <w:pPr>
        <w:pStyle w:val="af0"/>
        <w:spacing w:line="360" w:lineRule="auto"/>
        <w:ind w:left="357"/>
        <w:jc w:val="both"/>
        <w:rPr>
          <w:rFonts w:ascii="David" w:hAnsi="David" w:cs="David"/>
          <w:b/>
          <w:bCs/>
          <w:sz w:val="24"/>
          <w:szCs w:val="24"/>
          <w:rtl/>
        </w:rPr>
      </w:pPr>
    </w:p>
    <w:p w:rsidR="00921CA2" w:rsidRDefault="00921CA2" w:rsidP="00B01C7F">
      <w:pPr>
        <w:spacing w:line="360" w:lineRule="auto"/>
        <w:ind w:left="357"/>
        <w:rPr>
          <w:rFonts w:ascii="David" w:hAnsi="David"/>
          <w:b/>
          <w:bCs/>
          <w:rtl/>
        </w:rPr>
      </w:pPr>
    </w:p>
    <w:p w:rsidR="00B01C7F" w:rsidRDefault="00B01C7F" w:rsidP="00921CA2">
      <w:pPr>
        <w:spacing w:line="360" w:lineRule="auto"/>
        <w:ind w:left="357"/>
        <w:rPr>
          <w:rFonts w:ascii="David" w:hAnsi="David"/>
          <w:rtl/>
        </w:rPr>
      </w:pPr>
      <w:r>
        <w:rPr>
          <w:rFonts w:ascii="David" w:hAnsi="David"/>
          <w:b/>
          <w:bCs/>
          <w:rtl/>
        </w:rPr>
        <w:t>התובעות לא נחקרו תחת אזהרה ובכך נשללו מהן זכויות שנתונות למי שנחקר באזהרה.</w:t>
      </w: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התובעות טוענות כי החקירה החלה בכך שעלה חשד כי בוצעו כלפיהן עבירות מין או כי הן עצמן עברו עבירה של שוחד מיני. למרות זאת, הן לא נחקרו תחת אזהרה כך שנשללו מהן זכויות יסוד שנתונות למי שנחקר באזהרה כגון הזכות להיוועץ בעורך-דין וזכות השתיקה מחד גיסא ומאידך גיסא, לא התייחסו אליהן כאל קורבנות עבירות מין, כך שהן נותרו נטולות זכויות.</w:t>
      </w:r>
    </w:p>
    <w:p w:rsidR="00B01C7F" w:rsidRDefault="00B01C7F" w:rsidP="00B01C7F">
      <w:pPr>
        <w:spacing w:line="360" w:lineRule="auto"/>
        <w:ind w:left="357"/>
        <w:jc w:val="both"/>
        <w:rPr>
          <w:rFonts w:ascii="David" w:hAnsi="David"/>
          <w:rtl/>
        </w:rPr>
      </w:pPr>
      <w:r>
        <w:rPr>
          <w:rFonts w:ascii="David" w:hAnsi="David"/>
          <w:rtl/>
        </w:rPr>
        <w:t xml:space="preserve">הטענה בדבר אי חקירתן של התובעות באזהרה, כחשודות בעבירה של מתן שוחד מיני, נטענה בשפה רפה מבלי שהובהרה התשתית המשפטית שעליה היא מבוססת. ההחלטה שלא לחקור את התובעות או מי מהן באזהרה, היא החלטה של רשויות החקירה. אין לתובעות זכות להיחקר באזהרה מקום שבו צוות החוקרים ראה לנכון לחקור אותן כעדות ולא כחשודות, ויצוין כי בפתח החקירה הובהר לכל אחת מהתובעות כי היא זומנה למסירת עדות ואינה חשודה בדבר. </w:t>
      </w:r>
    </w:p>
    <w:p w:rsidR="00B01C7F" w:rsidRDefault="00B01C7F" w:rsidP="00B01C7F">
      <w:pPr>
        <w:spacing w:line="360" w:lineRule="auto"/>
        <w:ind w:left="357"/>
        <w:contextualSpacing/>
        <w:jc w:val="both"/>
        <w:rPr>
          <w:rFonts w:ascii="David" w:hAnsi="David"/>
          <w:rtl/>
        </w:rPr>
      </w:pPr>
      <w:r>
        <w:rPr>
          <w:rFonts w:ascii="David" w:hAnsi="David"/>
          <w:rtl/>
        </w:rPr>
        <w:t>אכן, במהלך החקירה נאמר לכל אחת מהתובעות כי ככל שהיא לא תשתף פעולה, לא יהיה מנוס מלעבור לחקירה באזהרה (עמ' 23 בתמליל חקירתה של התובעת 1 ועמ' 27 לנספח 2 לתצהירה של התובעת 2 (להלן: "</w:t>
      </w:r>
      <w:r>
        <w:rPr>
          <w:rFonts w:ascii="David" w:hAnsi="David"/>
          <w:b/>
          <w:bCs/>
          <w:rtl/>
        </w:rPr>
        <w:t>התמליל</w:t>
      </w:r>
      <w:r>
        <w:rPr>
          <w:rFonts w:ascii="David" w:hAnsi="David"/>
          <w:rtl/>
        </w:rPr>
        <w:t>"). אתייחס לדברים במסגרת בחינת חקירתה של כל אחת מהתובעות בהיבט של נאותות החקירה. ואולם, בנסיבות העניין, משהתובעות זומנו למסירת עדות כעדות ולא נחקרו כחשודות בביצוע עבירה כלשהי, לא היתה להן "זכות" להיחקר באזהרה.</w:t>
      </w:r>
    </w:p>
    <w:p w:rsidR="00B01C7F" w:rsidRDefault="00B01C7F" w:rsidP="00921CA2">
      <w:pPr>
        <w:spacing w:line="360" w:lineRule="auto"/>
        <w:ind w:left="357"/>
        <w:contextualSpacing/>
        <w:jc w:val="both"/>
        <w:rPr>
          <w:rFonts w:ascii="David" w:hAnsi="David"/>
          <w:rtl/>
        </w:rPr>
      </w:pPr>
    </w:p>
    <w:p w:rsidR="00B01C7F" w:rsidRDefault="00B01C7F" w:rsidP="00B01C7F">
      <w:pPr>
        <w:spacing w:line="360" w:lineRule="auto"/>
        <w:ind w:left="357"/>
        <w:rPr>
          <w:rFonts w:ascii="David" w:hAnsi="David"/>
          <w:b/>
          <w:bCs/>
          <w:rtl/>
        </w:rPr>
      </w:pPr>
      <w:r>
        <w:rPr>
          <w:rFonts w:ascii="David" w:hAnsi="David"/>
          <w:b/>
          <w:bCs/>
          <w:rtl/>
        </w:rPr>
        <w:t xml:space="preserve">הפרת זכויותיהן של התובעות - תמצית הטענות.  </w:t>
      </w:r>
    </w:p>
    <w:p w:rsidR="00B01C7F" w:rsidRDefault="00B01C7F" w:rsidP="00B01C7F">
      <w:pPr>
        <w:pStyle w:val="af0"/>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התובעות טוענות כי חוקרי מח"ש נקטו נגדן בקו חקירה פורנוגרפי, דורסני, חודרני ומזלזל שכלל איומים לפיטורים והעמדה לדין זאת כאשר לא היה כל צורך לחקור אותן לאחר שהן הבהירו בפתח החקירה כי מדובר היה בקשר מיני מוסכם, נטול פוטנציאל לעבירות מין כלשהן. </w:t>
      </w:r>
    </w:p>
    <w:p w:rsidR="00B01C7F" w:rsidRDefault="00B01C7F" w:rsidP="00921CA2">
      <w:pPr>
        <w:spacing w:after="160" w:line="360" w:lineRule="auto"/>
        <w:ind w:left="357"/>
        <w:contextualSpacing/>
        <w:jc w:val="both"/>
        <w:rPr>
          <w:rFonts w:ascii="David" w:hAnsi="David"/>
          <w:rtl/>
        </w:rPr>
      </w:pPr>
      <w:r>
        <w:rPr>
          <w:rFonts w:ascii="David" w:hAnsi="David"/>
          <w:rtl/>
        </w:rPr>
        <w:t xml:space="preserve">לטענתן, הופנו אליהן, שלא לצורך, שאלות אינטימיות ופוגעניות תוך הפרת זכויותיהן בהתאם לחוק זכויות נפגעי עבירה. כן נטען כי חוקרי מח"ש פעלו בניגוד להוראות סעיף 3(א) (5) לחוק למניעת הטרדה מינית והפרו את זכויות היסוד שמוקנות לתובעות מכוח סעיפים 2, 4, ו-7 לחוק יסוד: כבוד האדם וחירותו, בכך שהפנו אליהן שאלות שפגעו בכבודן ובפרטיותן שלא לצורך ושלא לתכלית ראויה. </w:t>
      </w:r>
    </w:p>
    <w:p w:rsidR="00921CA2" w:rsidRDefault="00921CA2" w:rsidP="00921CA2">
      <w:pPr>
        <w:spacing w:line="360" w:lineRule="auto"/>
        <w:ind w:left="357"/>
        <w:jc w:val="both"/>
        <w:rPr>
          <w:rFonts w:ascii="David" w:hAnsi="David"/>
          <w:rtl/>
        </w:rPr>
      </w:pPr>
    </w:p>
    <w:p w:rsidR="00B01C7F" w:rsidRDefault="00B01C7F" w:rsidP="00921CA2">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הנתבעת טוענת כי לא הופרה זכות מזכויותיהן של התובעות. זכות השתיקה מוקנית לחשודים במשפט פלילי בלבד ואינה מהווה מפלט ממתן מענה על שאלות מביכות או אינטימיות בחקירה. כאשר מתגלה חשד של ממש כי נעברה עבירה, מחובתה של המשטרה לברר את הדברים גם אם התובעות אינן מעוניינות לשתף פעולה. החקירה התנהלה בפיקוח צמוד של בכירי מח"ש, והיתה עניינית, מקצועית, מכבדת ומתחשבת. השאלות שהתובעות מלינות עליהן הוצאו מהקשרן ויש לבחון את מהלך החקירה בכללותו. השאלות שנשאלו נועדו לברר את מידת ההסכמה. שאלות </w:t>
      </w:r>
      <w:r>
        <w:rPr>
          <w:rFonts w:ascii="David" w:hAnsi="David" w:cs="David"/>
          <w:sz w:val="24"/>
          <w:szCs w:val="24"/>
          <w:rtl/>
        </w:rPr>
        <w:lastRenderedPageBreak/>
        <w:t xml:space="preserve">בדבר טיבם הפיזי של המעשים שבוצעו, ההגעה לפורקן מיני, ושימוש באמצעי מניעה היו הכרחיות לצורך בחינת התקיימות עבירה וסיווגה. התובעות מצידן לא מילאו את חובתן החוקית לשתף פעולה. הן שיקרו והתחמקו ממתן תשובות ובכך אילצו את החוקרים להתעקש לחלץ מהן גרסת אמת מפורטת. </w:t>
      </w:r>
    </w:p>
    <w:p w:rsidR="00B01C7F" w:rsidRDefault="00B01C7F" w:rsidP="00B01C7F">
      <w:pPr>
        <w:spacing w:line="360" w:lineRule="auto"/>
        <w:ind w:left="357"/>
        <w:jc w:val="both"/>
        <w:rPr>
          <w:rFonts w:ascii="David" w:hAnsi="David"/>
          <w:rtl/>
        </w:rPr>
      </w:pPr>
      <w:r>
        <w:rPr>
          <w:rFonts w:ascii="David" w:hAnsi="David"/>
          <w:rtl/>
        </w:rPr>
        <w:t xml:space="preserve">התובעות לא הוטרדו הטרדה מינית כמשמעה בסעיף 3(א)(5) לחוק מניעת הטרדה מינית. מדובר בחקירה שנושאה יחסי מין שהיא מטיבה חקירה מביכה. עם זאת, לא היתה כל כוונה להשפיל ולבזות את התובעות. </w:t>
      </w:r>
    </w:p>
    <w:p w:rsidR="00B01C7F" w:rsidRDefault="00B01C7F" w:rsidP="00921CA2">
      <w:pPr>
        <w:spacing w:after="160" w:line="360" w:lineRule="auto"/>
        <w:ind w:left="357"/>
        <w:contextualSpacing/>
        <w:jc w:val="both"/>
        <w:rPr>
          <w:rFonts w:ascii="David" w:hAnsi="David"/>
          <w:b/>
          <w:bCs/>
          <w:rtl/>
        </w:rPr>
      </w:pPr>
      <w:r>
        <w:rPr>
          <w:rFonts w:ascii="David" w:hAnsi="David"/>
          <w:rtl/>
        </w:rPr>
        <w:t>זכויותיהן של התובעות בהתאם לחוק נפגעי עבירה, לא קופחו. סעיף 14 לחוק נפגעי עבירה לא מחייב ידוע מראש על הזכות להיות מלווה בחקירה, מה גם שזכות זו נתונה לשיקול דעתו של מנהל החקירה. אף אחת מהתובעות לא ביקשה להיות מלווה בחקירה ולמרות שלא היתה קיימת חובה על פי הדין, הוצע לתובעות שלא להיחקר על ידי חוקר - גבר.</w:t>
      </w:r>
    </w:p>
    <w:p w:rsidR="00B01C7F" w:rsidRDefault="00B01C7F" w:rsidP="00B01C7F">
      <w:pPr>
        <w:spacing w:line="360" w:lineRule="auto"/>
        <w:ind w:left="357"/>
        <w:jc w:val="both"/>
        <w:rPr>
          <w:rFonts w:ascii="David" w:hAnsi="David"/>
          <w:b/>
          <w:bCs/>
          <w:rtl/>
        </w:rPr>
      </w:pPr>
    </w:p>
    <w:p w:rsidR="00B01C7F" w:rsidRDefault="00B01C7F" w:rsidP="00921CA2">
      <w:pPr>
        <w:pStyle w:val="af0"/>
        <w:numPr>
          <w:ilvl w:val="0"/>
          <w:numId w:val="1"/>
        </w:numPr>
        <w:spacing w:line="360" w:lineRule="auto"/>
        <w:ind w:left="357" w:hanging="357"/>
        <w:jc w:val="both"/>
        <w:rPr>
          <w:rFonts w:ascii="David" w:hAnsi="David" w:cs="David"/>
          <w:b/>
          <w:bCs/>
          <w:sz w:val="24"/>
          <w:szCs w:val="24"/>
          <w:rtl/>
        </w:rPr>
      </w:pPr>
      <w:r>
        <w:rPr>
          <w:rFonts w:ascii="David" w:hAnsi="David" w:cs="David"/>
          <w:sz w:val="24"/>
          <w:szCs w:val="24"/>
          <w:rtl/>
        </w:rPr>
        <w:t>לצורך הדיון בטענות האמורות, אפנה עתה לבחינת חקירתה של כל אחת מהתובעות</w:t>
      </w:r>
      <w:r>
        <w:rPr>
          <w:rFonts w:ascii="David" w:hAnsi="David" w:cs="David"/>
          <w:b/>
          <w:bCs/>
          <w:sz w:val="24"/>
          <w:szCs w:val="24"/>
          <w:rtl/>
        </w:rPr>
        <w:t>.</w:t>
      </w:r>
    </w:p>
    <w:p w:rsidR="00B01C7F" w:rsidRDefault="00B01C7F" w:rsidP="00B01C7F">
      <w:pPr>
        <w:pStyle w:val="af0"/>
        <w:spacing w:after="0" w:line="360" w:lineRule="auto"/>
        <w:ind w:left="357"/>
        <w:jc w:val="both"/>
        <w:rPr>
          <w:rFonts w:ascii="David" w:hAnsi="David" w:cs="David"/>
          <w:b/>
          <w:bCs/>
          <w:sz w:val="24"/>
          <w:szCs w:val="24"/>
        </w:rPr>
      </w:pPr>
    </w:p>
    <w:p w:rsidR="00B01C7F" w:rsidRDefault="00B01C7F" w:rsidP="00B01C7F">
      <w:pPr>
        <w:spacing w:line="360" w:lineRule="auto"/>
        <w:ind w:firstLine="357"/>
        <w:rPr>
          <w:rFonts w:ascii="David" w:hAnsi="David"/>
          <w:b/>
          <w:bCs/>
          <w:rtl/>
        </w:rPr>
      </w:pPr>
      <w:r>
        <w:rPr>
          <w:rFonts w:ascii="David" w:hAnsi="David"/>
          <w:b/>
          <w:bCs/>
          <w:rtl/>
        </w:rPr>
        <w:t>חקירתה של התובעת 1.</w:t>
      </w:r>
    </w:p>
    <w:p w:rsidR="00B01C7F" w:rsidRDefault="00B01C7F" w:rsidP="00B01C7F">
      <w:pPr>
        <w:pStyle w:val="af0"/>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התובעת 1 (להלן, בפרק זה : "</w:t>
      </w:r>
      <w:r>
        <w:rPr>
          <w:rFonts w:ascii="David" w:hAnsi="David" w:cs="David"/>
          <w:b/>
          <w:bCs/>
          <w:sz w:val="24"/>
          <w:szCs w:val="24"/>
          <w:rtl/>
        </w:rPr>
        <w:t>התובעת"</w:t>
      </w:r>
      <w:r>
        <w:rPr>
          <w:rFonts w:ascii="David" w:hAnsi="David" w:cs="David"/>
          <w:sz w:val="24"/>
          <w:szCs w:val="24"/>
          <w:rtl/>
        </w:rPr>
        <w:t>), זומנה לחקירה לאחר שיום קודם לכן, שחם נשאל בחקירתו הראשונה על הקשר שהיה בינו לבינה, והשיב:</w:t>
      </w:r>
    </w:p>
    <w:p w:rsidR="00B01C7F" w:rsidRDefault="00B01C7F" w:rsidP="00B01C7F">
      <w:pPr>
        <w:spacing w:after="80" w:line="312" w:lineRule="auto"/>
        <w:ind w:left="567" w:right="567"/>
        <w:jc w:val="both"/>
        <w:rPr>
          <w:rFonts w:ascii="David" w:hAnsi="David"/>
          <w:b/>
          <w:bCs/>
          <w:sz w:val="22"/>
          <w:szCs w:val="22"/>
        </w:rPr>
      </w:pPr>
      <w:r>
        <w:rPr>
          <w:rFonts w:ascii="David" w:hAnsi="David"/>
          <w:b/>
          <w:bCs/>
          <w:rtl/>
        </w:rPr>
        <w:t xml:space="preserve">"עם </w:t>
      </w:r>
      <w:r>
        <w:rPr>
          <w:rFonts w:ascii="David" w:hAnsi="David"/>
          <w:rtl/>
        </w:rPr>
        <w:t>(התובעת)</w:t>
      </w:r>
      <w:r>
        <w:rPr>
          <w:rFonts w:ascii="David" w:hAnsi="David"/>
          <w:b/>
          <w:bCs/>
          <w:rtl/>
        </w:rPr>
        <w:t xml:space="preserve"> היה לי קשר מיני, הקשר די ממושך, אני זוכר ויכול להגיד ש </w:t>
      </w:r>
      <w:r>
        <w:rPr>
          <w:rFonts w:ascii="David" w:hAnsi="David"/>
          <w:rtl/>
        </w:rPr>
        <w:t>(התובעת)</w:t>
      </w:r>
      <w:r>
        <w:rPr>
          <w:rFonts w:ascii="David" w:hAnsi="David"/>
          <w:b/>
          <w:bCs/>
          <w:rtl/>
        </w:rPr>
        <w:t xml:space="preserve"> היא בחורה מקסימה ואין לי מילה רעה כלומר עליה ... היה ביננו קשר של אס אם אסים , הקשר החל לפני 3 שנים.....היה קשר של אס אם אסים אני לא זוכר איך התחיל, במהלכו היתה הפוגה של האס אם אסים ואני חושב שהקשר המיני בינינו החל כשהייתי ראש את"ל לשאלתך זה קיום יחסי מין מלאים היא לא היתה פקודה כשהחל הקשר המיני, אני לא חושב שהייתי ממ"ז והיה ביננו קשר, אני הפסקתי את הקשר המיני איתה לפני כשנה וחצי...</w:t>
      </w:r>
    </w:p>
    <w:p w:rsidR="00B01C7F" w:rsidRDefault="00B01C7F" w:rsidP="00B01C7F">
      <w:pPr>
        <w:spacing w:after="80" w:line="276" w:lineRule="auto"/>
        <w:ind w:left="567" w:right="567"/>
        <w:jc w:val="both"/>
        <w:rPr>
          <w:rFonts w:ascii="David" w:hAnsi="David"/>
          <w:b/>
          <w:bCs/>
          <w:rtl/>
        </w:rPr>
      </w:pPr>
      <w:r>
        <w:rPr>
          <w:rFonts w:ascii="David" w:hAnsi="David"/>
          <w:b/>
          <w:bCs/>
          <w:rtl/>
        </w:rPr>
        <w:t>קשר מיני היה בינינו אולי פעם אחת או פעמיים, לשאלתך זה היה כי פסק הקשר והיא סימסה לי ורצתה לפגוש אותי אמרתי לה עד מתי תמשיכי לנסות? ואז היא כתבה עד מתי שאצליח...</w:t>
      </w:r>
    </w:p>
    <w:p w:rsidR="00B01C7F" w:rsidRDefault="00B01C7F" w:rsidP="00B01C7F">
      <w:pPr>
        <w:spacing w:after="80" w:line="276" w:lineRule="auto"/>
        <w:ind w:left="567" w:right="567"/>
        <w:jc w:val="both"/>
        <w:rPr>
          <w:rFonts w:ascii="David" w:hAnsi="David"/>
          <w:b/>
          <w:bCs/>
          <w:rtl/>
        </w:rPr>
      </w:pPr>
      <w:r>
        <w:rPr>
          <w:rFonts w:ascii="David" w:hAnsi="David"/>
          <w:b/>
          <w:bCs/>
          <w:rtl/>
        </w:rPr>
        <w:t>שאלה: נחזור לקשר המיני?</w:t>
      </w:r>
    </w:p>
    <w:p w:rsidR="00B01C7F" w:rsidRDefault="00B01C7F" w:rsidP="00B01C7F">
      <w:pPr>
        <w:spacing w:after="80" w:line="276" w:lineRule="auto"/>
        <w:ind w:left="567" w:right="567"/>
        <w:jc w:val="both"/>
        <w:rPr>
          <w:rFonts w:ascii="David" w:hAnsi="David"/>
          <w:b/>
          <w:bCs/>
          <w:rtl/>
        </w:rPr>
      </w:pPr>
      <w:r>
        <w:rPr>
          <w:rFonts w:ascii="David" w:hAnsi="David"/>
          <w:b/>
          <w:bCs/>
          <w:rtl/>
        </w:rPr>
        <w:t>תשובה: אני לא זוכר איך, נפגשנו ביער ירושלים, זה היה מחוץ לרכב, לשאלתך החוקר, לא היתה שמיכה זה היה בעמידה אני חושב שזה היה לפני שנה ומשהו...</w:t>
      </w:r>
    </w:p>
    <w:p w:rsidR="00B01C7F" w:rsidRDefault="00B01C7F" w:rsidP="00B01C7F">
      <w:pPr>
        <w:spacing w:after="80" w:line="276" w:lineRule="auto"/>
        <w:ind w:left="567" w:right="567"/>
        <w:jc w:val="both"/>
        <w:rPr>
          <w:rFonts w:ascii="David" w:hAnsi="David"/>
          <w:b/>
          <w:bCs/>
          <w:rtl/>
        </w:rPr>
      </w:pPr>
      <w:r>
        <w:rPr>
          <w:rFonts w:ascii="David" w:hAnsi="David"/>
          <w:b/>
          <w:bCs/>
          <w:rtl/>
        </w:rPr>
        <w:t>שאלה: איזה עוד פעמים היו?</w:t>
      </w:r>
    </w:p>
    <w:p w:rsidR="00B01C7F" w:rsidRDefault="00B01C7F" w:rsidP="00B01C7F">
      <w:pPr>
        <w:spacing w:after="80" w:line="276" w:lineRule="auto"/>
        <w:ind w:left="567" w:right="567"/>
        <w:jc w:val="both"/>
        <w:rPr>
          <w:rFonts w:ascii="David" w:hAnsi="David"/>
          <w:b/>
          <w:bCs/>
          <w:rtl/>
        </w:rPr>
      </w:pPr>
      <w:r>
        <w:rPr>
          <w:rFonts w:ascii="David" w:hAnsi="David"/>
          <w:b/>
          <w:bCs/>
          <w:rtl/>
        </w:rPr>
        <w:t>תשובה: אני לא זוכר, אולי עוד פעם אחת.</w:t>
      </w:r>
    </w:p>
    <w:p w:rsidR="00B01C7F" w:rsidRDefault="00B01C7F" w:rsidP="00B01C7F">
      <w:pPr>
        <w:spacing w:after="80" w:line="276" w:lineRule="auto"/>
        <w:ind w:left="567" w:right="567"/>
        <w:jc w:val="both"/>
        <w:rPr>
          <w:rFonts w:ascii="David" w:hAnsi="David"/>
          <w:b/>
          <w:bCs/>
          <w:rtl/>
        </w:rPr>
      </w:pPr>
      <w:r>
        <w:rPr>
          <w:rFonts w:ascii="David" w:hAnsi="David"/>
          <w:b/>
          <w:bCs/>
          <w:rtl/>
        </w:rPr>
        <w:t>שאלה : באיזה קשר אתם היום</w:t>
      </w:r>
    </w:p>
    <w:p w:rsidR="00B01C7F" w:rsidRDefault="00B01C7F" w:rsidP="00B01C7F">
      <w:pPr>
        <w:spacing w:after="80" w:line="276" w:lineRule="auto"/>
        <w:ind w:left="567" w:right="567"/>
        <w:jc w:val="both"/>
        <w:rPr>
          <w:rFonts w:ascii="David" w:hAnsi="David"/>
          <w:rtl/>
        </w:rPr>
      </w:pPr>
      <w:r>
        <w:rPr>
          <w:rFonts w:ascii="David" w:hAnsi="David"/>
          <w:b/>
          <w:bCs/>
          <w:rtl/>
        </w:rPr>
        <w:t>תשובה: טלפוני אני מאוד אוהב אותה היא בחורה מקסימה..."</w:t>
      </w:r>
      <w:r>
        <w:rPr>
          <w:rFonts w:ascii="David" w:hAnsi="David"/>
          <w:rtl/>
        </w:rPr>
        <w:t xml:space="preserve"> </w:t>
      </w:r>
    </w:p>
    <w:p w:rsidR="00B01C7F" w:rsidRDefault="00B01C7F" w:rsidP="00B01C7F">
      <w:pPr>
        <w:spacing w:after="80" w:line="276" w:lineRule="auto"/>
        <w:ind w:left="567" w:right="567"/>
        <w:jc w:val="both"/>
        <w:rPr>
          <w:rFonts w:ascii="David" w:hAnsi="David"/>
          <w:rtl/>
        </w:rPr>
      </w:pPr>
      <w:r>
        <w:rPr>
          <w:rFonts w:ascii="David" w:hAnsi="David"/>
          <w:rtl/>
        </w:rPr>
        <w:t xml:space="preserve">(עמ' 18-17 בתיק המוצגים מטעם הנתבעת). </w:t>
      </w:r>
    </w:p>
    <w:p w:rsidR="00921CA2" w:rsidRDefault="00921CA2" w:rsidP="00B01C7F">
      <w:pPr>
        <w:spacing w:after="80" w:line="276" w:lineRule="auto"/>
        <w:ind w:left="567" w:right="567"/>
        <w:jc w:val="both"/>
        <w:rPr>
          <w:rFonts w:ascii="David" w:hAnsi="David"/>
          <w:rtl/>
        </w:rPr>
      </w:pPr>
    </w:p>
    <w:p w:rsidR="00B01C7F" w:rsidRDefault="00B01C7F" w:rsidP="00921CA2">
      <w:pPr>
        <w:ind w:left="567" w:right="567"/>
        <w:jc w:val="both"/>
        <w:rPr>
          <w:rFonts w:ascii="David" w:hAnsi="David"/>
          <w:sz w:val="22"/>
          <w:szCs w:val="22"/>
          <w:rtl/>
        </w:rPr>
      </w:pPr>
    </w:p>
    <w:p w:rsidR="00B01C7F" w:rsidRDefault="00B01C7F" w:rsidP="00921CA2">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התובעת נחקרה על ידי החוקרים אירית אברמצ'יק בן אורי</w:t>
      </w:r>
      <w:r>
        <w:rPr>
          <w:rFonts w:ascii="David" w:hAnsi="David" w:cs="David"/>
          <w:b/>
          <w:bCs/>
          <w:sz w:val="24"/>
          <w:szCs w:val="24"/>
          <w:rtl/>
        </w:rPr>
        <w:t xml:space="preserve"> (</w:t>
      </w:r>
      <w:r>
        <w:rPr>
          <w:rFonts w:ascii="David" w:hAnsi="David" w:cs="David"/>
          <w:sz w:val="24"/>
          <w:szCs w:val="24"/>
          <w:rtl/>
        </w:rPr>
        <w:t>להלן: "</w:t>
      </w:r>
      <w:r>
        <w:rPr>
          <w:rFonts w:ascii="David" w:hAnsi="David" w:cs="David"/>
          <w:b/>
          <w:bCs/>
          <w:sz w:val="24"/>
          <w:szCs w:val="24"/>
          <w:rtl/>
        </w:rPr>
        <w:t>אירית</w:t>
      </w:r>
      <w:r>
        <w:rPr>
          <w:rFonts w:ascii="David" w:hAnsi="David" w:cs="David"/>
          <w:sz w:val="24"/>
          <w:szCs w:val="24"/>
          <w:rtl/>
        </w:rPr>
        <w:t>") ואיתן סלוצקי (להלן: "</w:t>
      </w:r>
      <w:r>
        <w:rPr>
          <w:rFonts w:ascii="David" w:hAnsi="David" w:cs="David"/>
          <w:b/>
          <w:bCs/>
          <w:sz w:val="24"/>
          <w:szCs w:val="24"/>
          <w:rtl/>
        </w:rPr>
        <w:t>איתן"</w:t>
      </w:r>
      <w:r>
        <w:rPr>
          <w:rFonts w:ascii="David" w:hAnsi="David" w:cs="David"/>
          <w:sz w:val="24"/>
          <w:szCs w:val="24"/>
          <w:rtl/>
        </w:rPr>
        <w:t>).</w:t>
      </w:r>
    </w:p>
    <w:p w:rsidR="00B01C7F" w:rsidRDefault="00B01C7F" w:rsidP="00B01C7F">
      <w:pPr>
        <w:spacing w:line="360" w:lineRule="auto"/>
        <w:ind w:left="357"/>
        <w:jc w:val="both"/>
        <w:rPr>
          <w:rFonts w:ascii="David" w:hAnsi="David"/>
          <w:rtl/>
        </w:rPr>
      </w:pPr>
      <w:r>
        <w:rPr>
          <w:rFonts w:ascii="David" w:hAnsi="David"/>
          <w:rtl/>
        </w:rPr>
        <w:t>התובעת היתה בחודש השמיני להריונה במועד החקירה, וחקירתה ארכה שעות מרובות.</w:t>
      </w:r>
    </w:p>
    <w:p w:rsidR="00B01C7F" w:rsidRDefault="00B01C7F" w:rsidP="00921CA2">
      <w:pPr>
        <w:spacing w:line="360" w:lineRule="auto"/>
        <w:ind w:left="567" w:right="567"/>
        <w:jc w:val="both"/>
        <w:rPr>
          <w:rFonts w:ascii="David" w:hAnsi="David"/>
          <w:sz w:val="22"/>
          <w:szCs w:val="22"/>
          <w:rtl/>
        </w:rPr>
      </w:pPr>
    </w:p>
    <w:p w:rsidR="00B01C7F" w:rsidRDefault="00B01C7F" w:rsidP="00B01C7F">
      <w:pPr>
        <w:pStyle w:val="af0"/>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לטענת התובעת, בתחילת החקירה, החוקרים נקטו "תרגיל לא לגיטימי, מטעה מניפולטיבי" בכך שאמרו לה ששחם העיד בחקירתו "שמדובר בסיפור עסיסי מאוד במערכת של יחסי מין רב פעמיים" (סעיף 31 לסיכומים).</w:t>
      </w:r>
    </w:p>
    <w:p w:rsidR="00B01C7F" w:rsidRDefault="00B01C7F" w:rsidP="00B01C7F">
      <w:pPr>
        <w:ind w:left="567" w:right="567"/>
        <w:contextualSpacing/>
        <w:jc w:val="both"/>
        <w:rPr>
          <w:rFonts w:ascii="David" w:hAnsi="David"/>
          <w:sz w:val="22"/>
          <w:szCs w:val="22"/>
        </w:rPr>
      </w:pPr>
    </w:p>
    <w:p w:rsidR="00B01C7F" w:rsidRDefault="00B01C7F" w:rsidP="00B01C7F">
      <w:pPr>
        <w:spacing w:line="360" w:lineRule="auto"/>
        <w:ind w:left="357"/>
        <w:jc w:val="both"/>
        <w:rPr>
          <w:rFonts w:ascii="David" w:hAnsi="David"/>
          <w:rtl/>
        </w:rPr>
      </w:pPr>
      <w:r>
        <w:rPr>
          <w:rFonts w:ascii="David" w:hAnsi="David"/>
          <w:rtl/>
        </w:rPr>
        <w:t>התובעת מוסיפה וטוענת כי למרות שהיא הבהירה כבר בתחילת החקירה (עמ' 8 לתמליל), כי שחם לא עשה דבר בניגוד לרצונה, החוקרים הפנו אליה שאלות חודרניות, משפילות ופוגעניות.</w:t>
      </w:r>
    </w:p>
    <w:p w:rsidR="00B01C7F" w:rsidRDefault="00B01C7F" w:rsidP="00B01C7F">
      <w:pPr>
        <w:spacing w:line="360" w:lineRule="auto"/>
        <w:ind w:left="357"/>
        <w:jc w:val="both"/>
        <w:rPr>
          <w:rFonts w:ascii="David" w:hAnsi="David"/>
          <w:rtl/>
        </w:rPr>
      </w:pPr>
      <w:r>
        <w:rPr>
          <w:rFonts w:ascii="David" w:hAnsi="David"/>
          <w:rtl/>
        </w:rPr>
        <w:t>לשם הדוגמה, התובעת מפנה לשאלות והאמירות שלהלן:</w:t>
      </w:r>
    </w:p>
    <w:p w:rsidR="00B01C7F" w:rsidRDefault="00B01C7F" w:rsidP="00B01C7F">
      <w:pPr>
        <w:spacing w:line="360" w:lineRule="auto"/>
        <w:ind w:left="567" w:right="567"/>
        <w:jc w:val="both"/>
        <w:rPr>
          <w:rFonts w:ascii="David" w:hAnsi="David"/>
          <w:rtl/>
        </w:rPr>
      </w:pPr>
      <w:r>
        <w:rPr>
          <w:rFonts w:ascii="David" w:hAnsi="David"/>
          <w:rtl/>
        </w:rPr>
        <w:t xml:space="preserve"> </w:t>
      </w:r>
      <w:r>
        <w:rPr>
          <w:rFonts w:ascii="David" w:hAnsi="David"/>
          <w:b/>
          <w:bCs/>
          <w:rtl/>
        </w:rPr>
        <w:t>"יש סוגים של יחסי מין או קיי תגידי לי היה משהו אחד היה משהו אחר... לא נקרא לזה יחסי מין נקרא לזה לעשות ביד נקרא לזה מציצה נקרא לזה חדירה נקרא לזה איך שאת רוצה... תגידי מה היה לא נקרא לזה יחסי מין."</w:t>
      </w:r>
      <w:r>
        <w:rPr>
          <w:rFonts w:ascii="David" w:hAnsi="David"/>
          <w:rtl/>
        </w:rPr>
        <w:t xml:space="preserve"> (עמ' 10 לתמליל).</w:t>
      </w:r>
    </w:p>
    <w:p w:rsidR="00B01C7F" w:rsidRDefault="00B01C7F" w:rsidP="00B01C7F">
      <w:pPr>
        <w:spacing w:line="360" w:lineRule="auto"/>
        <w:ind w:left="567" w:right="567"/>
        <w:jc w:val="both"/>
        <w:rPr>
          <w:rFonts w:ascii="David" w:hAnsi="David"/>
          <w:b/>
          <w:bCs/>
          <w:rtl/>
        </w:rPr>
      </w:pPr>
      <w:r>
        <w:rPr>
          <w:rFonts w:ascii="David" w:hAnsi="David"/>
          <w:b/>
          <w:bCs/>
          <w:rtl/>
        </w:rPr>
        <w:t xml:space="preserve">"... את רוצה שבאמת אני ארד לרמה שאני אשאל אותך תגידי האם ניסו החדיר לך את איבר המין שלו לאיבר המין שלך מקדימה..." </w:t>
      </w:r>
      <w:r>
        <w:rPr>
          <w:rFonts w:ascii="David" w:hAnsi="David"/>
          <w:rtl/>
        </w:rPr>
        <w:t>(עמ' 15 לתמליל).</w:t>
      </w:r>
    </w:p>
    <w:p w:rsidR="00B01C7F" w:rsidRDefault="00B01C7F" w:rsidP="00B01C7F">
      <w:pPr>
        <w:spacing w:line="360" w:lineRule="auto"/>
        <w:ind w:left="567" w:right="567"/>
        <w:jc w:val="both"/>
        <w:rPr>
          <w:rFonts w:ascii="David" w:hAnsi="David"/>
          <w:b/>
          <w:bCs/>
          <w:rtl/>
        </w:rPr>
      </w:pPr>
      <w:r>
        <w:rPr>
          <w:rFonts w:ascii="David" w:hAnsi="David"/>
          <w:b/>
          <w:bCs/>
          <w:rtl/>
        </w:rPr>
        <w:t xml:space="preserve">"האם את רוצה שאני ארד איתך לרזולוציות כמו האם הוא החדיר את איבר מינו מקדימה, הלאה האם הוא החדיר את איבר המין בפי הטבעת האם הוא ביצע בך... כאילו את רוצה שארד לשם... אני יכולה.. הרבה שאלות..." </w:t>
      </w:r>
      <w:r>
        <w:rPr>
          <w:rFonts w:ascii="David" w:hAnsi="David"/>
          <w:rtl/>
        </w:rPr>
        <w:t>(עמ' 19 לתמליל).</w:t>
      </w:r>
    </w:p>
    <w:p w:rsidR="00B01C7F" w:rsidRDefault="00B01C7F" w:rsidP="00B01C7F">
      <w:pPr>
        <w:spacing w:line="360" w:lineRule="auto"/>
        <w:ind w:left="567" w:right="567"/>
        <w:jc w:val="both"/>
        <w:rPr>
          <w:rFonts w:ascii="David" w:hAnsi="David"/>
          <w:rtl/>
        </w:rPr>
      </w:pPr>
      <w:r>
        <w:rPr>
          <w:rFonts w:ascii="David" w:hAnsi="David"/>
          <w:b/>
          <w:bCs/>
          <w:rtl/>
        </w:rPr>
        <w:t xml:space="preserve">"הוא הכניס לך ידיים מתחת לחולצה אולי, או הוריד לך את החולצה... התפשטתם ברכב... את גמרת?... ולא עשית לו שום דבר בחזרה הוא ירד לך ומה איתו? </w:t>
      </w:r>
      <w:r>
        <w:rPr>
          <w:rFonts w:ascii="David" w:hAnsi="David"/>
          <w:rtl/>
        </w:rPr>
        <w:t xml:space="preserve">(עמ' 27-26 לתמליל) </w:t>
      </w:r>
    </w:p>
    <w:p w:rsidR="00B01C7F" w:rsidRDefault="00B01C7F" w:rsidP="00B01C7F">
      <w:pPr>
        <w:spacing w:line="360" w:lineRule="auto"/>
        <w:ind w:left="567" w:right="567"/>
        <w:jc w:val="both"/>
        <w:rPr>
          <w:rFonts w:ascii="David" w:hAnsi="David"/>
          <w:rtl/>
        </w:rPr>
      </w:pPr>
      <w:r>
        <w:rPr>
          <w:rFonts w:ascii="David" w:hAnsi="David"/>
          <w:b/>
          <w:bCs/>
          <w:rtl/>
        </w:rPr>
        <w:t xml:space="preserve">"נגעת לו באיבר המין... הוא גם גמר? מה ירדת לו בפה?... אם היית מכניסה את איבר מין שלו לפה שלך, די נו ...אנחנו התקדמנו כבר... את נגעת בו עם היד או עם הפה?... אם היה טוב לא ביקשת שוב? </w:t>
      </w:r>
      <w:r>
        <w:rPr>
          <w:rFonts w:ascii="David" w:hAnsi="David"/>
          <w:rtl/>
        </w:rPr>
        <w:t>(עמ' 29-28 לתמליל).</w:t>
      </w:r>
    </w:p>
    <w:p w:rsidR="00B01C7F" w:rsidRDefault="00B01C7F" w:rsidP="00921CA2">
      <w:pPr>
        <w:spacing w:after="160" w:line="360" w:lineRule="auto"/>
        <w:ind w:left="567" w:right="567"/>
        <w:contextualSpacing/>
        <w:jc w:val="both"/>
        <w:rPr>
          <w:rFonts w:ascii="David" w:hAnsi="David"/>
          <w:rtl/>
        </w:rPr>
      </w:pPr>
      <w:r>
        <w:rPr>
          <w:rFonts w:ascii="David" w:hAnsi="David"/>
          <w:b/>
          <w:bCs/>
          <w:rtl/>
        </w:rPr>
        <w:t>"איך הוא ירד לך עם הלשון? לשון שלו?... איבר מין שלך?... רק נגעת בו עם היד?... הוא הוריד לעצמו את המכנס והתחתון?... נגעת לו באיבר המין?... מעל הבגדים?... ומזה הוא גמר?... איך את יודעת שהוא גמר?...</w:t>
      </w:r>
      <w:r>
        <w:rPr>
          <w:rFonts w:ascii="David" w:hAnsi="David"/>
          <w:rtl/>
        </w:rPr>
        <w:t xml:space="preserve"> (עמ' 47-46 לתמליל), ושאלות דומות נוספות.</w:t>
      </w:r>
    </w:p>
    <w:p w:rsidR="00B01C7F" w:rsidRDefault="00B01C7F" w:rsidP="00921CA2">
      <w:pPr>
        <w:spacing w:line="360" w:lineRule="auto"/>
        <w:ind w:left="567" w:right="567"/>
        <w:jc w:val="both"/>
        <w:rPr>
          <w:rFonts w:ascii="David" w:hAnsi="David"/>
          <w:rtl/>
        </w:rPr>
      </w:pPr>
    </w:p>
    <w:p w:rsidR="00B01C7F" w:rsidRDefault="00B01C7F" w:rsidP="00B01C7F">
      <w:pPr>
        <w:pStyle w:val="af0"/>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הנתבעת טוענת כי הדברים הוצאו מהקשרם וכי השאלות נדרשו נוכח העובדה שבמשך זמן רב התובעת נמנעה מלהסביר איזה קשר מיני היה לה עם שחם זאת בעוד שהחוקרים מנסים שוב ושוב לשכנע אותה לתאר במילים שלה מה היה (סעיפים 40-38 לתצהיר סלוצקי).</w:t>
      </w:r>
      <w:r>
        <w:rPr>
          <w:rFonts w:ascii="David" w:hAnsi="David" w:cs="David"/>
          <w:rtl/>
        </w:rPr>
        <w:t xml:space="preserve"> </w:t>
      </w:r>
      <w:r>
        <w:rPr>
          <w:rFonts w:ascii="David" w:hAnsi="David" w:cs="David"/>
          <w:sz w:val="24"/>
          <w:szCs w:val="24"/>
          <w:rtl/>
        </w:rPr>
        <w:t xml:space="preserve">ככל שהתובעת היתה מוסרת גרסה מלאה ואמינה, וניכר היה שהיא מספרת את כל האמת ולא מנסה להסתיר, </w:t>
      </w:r>
      <w:r>
        <w:rPr>
          <w:rFonts w:ascii="David" w:hAnsi="David" w:cs="David"/>
          <w:sz w:val="24"/>
          <w:szCs w:val="24"/>
          <w:rtl/>
        </w:rPr>
        <w:lastRenderedPageBreak/>
        <w:t xml:space="preserve">שאלות אלו לא היו נדרשות ולא היו נשאלות (סעיפים 31.5, 44-42 לתצהיר אירית). עוד נטען כי השאלות המפורטות נדרשו כדי לברר את שאלת ההסכמה ואת הלך הרוח של התובעת כנדרש בהליך פלילי לצורך הוכחת עבירות מין או עבירה של בעילה אסורה בהסכמה והן נשאלו תוך התנצלות ובקשת סליחה מהתובעת (סעיפים 17, 21, 43-42 לתצהיר אירית, סעיף 48 לתצהיר חמדי). </w:t>
      </w:r>
    </w:p>
    <w:p w:rsidR="00B01C7F" w:rsidRDefault="00B01C7F" w:rsidP="008C21CA">
      <w:pPr>
        <w:pStyle w:val="af0"/>
        <w:spacing w:after="0" w:line="360" w:lineRule="auto"/>
        <w:ind w:left="357"/>
        <w:jc w:val="both"/>
        <w:rPr>
          <w:rFonts w:ascii="David" w:hAnsi="David" w:cs="David"/>
          <w:sz w:val="24"/>
          <w:szCs w:val="24"/>
        </w:rPr>
      </w:pPr>
    </w:p>
    <w:p w:rsidR="00B01C7F" w:rsidRDefault="00B01C7F" w:rsidP="00B01C7F">
      <w:pPr>
        <w:spacing w:line="360" w:lineRule="auto"/>
        <w:ind w:firstLine="357"/>
        <w:jc w:val="both"/>
        <w:rPr>
          <w:rFonts w:ascii="David" w:hAnsi="David"/>
          <w:b/>
          <w:bCs/>
          <w:rtl/>
        </w:rPr>
      </w:pPr>
      <w:r>
        <w:rPr>
          <w:rFonts w:ascii="David" w:hAnsi="David"/>
          <w:b/>
          <w:bCs/>
          <w:rtl/>
        </w:rPr>
        <w:t xml:space="preserve">מהלך החקירה </w:t>
      </w:r>
    </w:p>
    <w:p w:rsidR="00B01C7F" w:rsidRDefault="00B01C7F" w:rsidP="008C21CA">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טענת הנתבעת כי יש לבחון את מהלך החקירה בכללותו, מקובלת עלי. לפיכך, לצורך בחינת טענות הצדדים, שבתי וקראתי את תמליל החקירה במלואו ואף צפיתי בחלקים נרחבים של הקלטת החקירה. </w:t>
      </w:r>
    </w:p>
    <w:p w:rsidR="00B01C7F" w:rsidRDefault="00B01C7F" w:rsidP="008C21CA">
      <w:pPr>
        <w:pStyle w:val="af0"/>
        <w:spacing w:after="0" w:line="360" w:lineRule="auto"/>
        <w:ind w:left="714"/>
        <w:jc w:val="both"/>
        <w:rPr>
          <w:rFonts w:ascii="David" w:hAnsi="David" w:cs="David"/>
          <w:sz w:val="24"/>
          <w:szCs w:val="24"/>
        </w:rPr>
      </w:pPr>
    </w:p>
    <w:p w:rsidR="00B01C7F" w:rsidRDefault="00B01C7F" w:rsidP="008C21CA">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בפתח החקירה התובעת נשאלה על הקשר שהיה בינה לבין שחם והגדירה את הקשר כ</w:t>
      </w:r>
      <w:r>
        <w:rPr>
          <w:rFonts w:ascii="David" w:hAnsi="David" w:cs="David"/>
          <w:b/>
          <w:bCs/>
          <w:sz w:val="24"/>
          <w:szCs w:val="24"/>
          <w:rtl/>
        </w:rPr>
        <w:t>"קשר מקצועי, קשר חברי... לא מעבר לזה"</w:t>
      </w:r>
      <w:r>
        <w:rPr>
          <w:rFonts w:ascii="David" w:hAnsi="David" w:cs="David"/>
          <w:sz w:val="24"/>
          <w:szCs w:val="24"/>
          <w:rtl/>
        </w:rPr>
        <w:t>. גם לאחר שנאמר לה כי שחם מסר בחקירתו על "</w:t>
      </w:r>
      <w:r>
        <w:rPr>
          <w:rFonts w:ascii="David" w:hAnsi="David" w:cs="David"/>
          <w:b/>
          <w:bCs/>
          <w:sz w:val="24"/>
          <w:szCs w:val="24"/>
          <w:rtl/>
        </w:rPr>
        <w:t>יותר מזה</w:t>
      </w:r>
      <w:r>
        <w:rPr>
          <w:rFonts w:ascii="David" w:hAnsi="David" w:cs="David"/>
          <w:sz w:val="24"/>
          <w:szCs w:val="24"/>
          <w:rtl/>
        </w:rPr>
        <w:t>" ואף "</w:t>
      </w:r>
      <w:r>
        <w:rPr>
          <w:rFonts w:ascii="David" w:hAnsi="David" w:cs="David"/>
          <w:b/>
          <w:bCs/>
          <w:sz w:val="24"/>
          <w:szCs w:val="24"/>
          <w:rtl/>
        </w:rPr>
        <w:t>אמר את השם שלך כמישהי שהיה לו איתה קשר רומנטי, מיני וגם קשר חברתי",</w:t>
      </w:r>
      <w:r>
        <w:rPr>
          <w:rFonts w:ascii="David" w:hAnsi="David" w:cs="David"/>
          <w:sz w:val="24"/>
          <w:szCs w:val="24"/>
          <w:rtl/>
        </w:rPr>
        <w:t xml:space="preserve"> התובעת לא מסרה פרטים מלאים על אודות הקשר שהיה בינה לבין שחם, זאת על אף שהובהר לה שהיא לא חשודה בדבר, כי שמה לא יפורסם וכי היא מתבקשת לספר את הגרסה שלה לגבי הקשר האמור (עמ' 2 - 3 לתמליל).</w:t>
      </w:r>
      <w:r>
        <w:rPr>
          <w:rFonts w:ascii="David" w:hAnsi="David" w:cs="David"/>
          <w:b/>
          <w:bCs/>
          <w:rtl/>
        </w:rPr>
        <w:t xml:space="preserve"> </w:t>
      </w:r>
      <w:r>
        <w:rPr>
          <w:rFonts w:ascii="David" w:hAnsi="David" w:cs="David"/>
          <w:sz w:val="24"/>
          <w:szCs w:val="24"/>
          <w:rtl/>
        </w:rPr>
        <w:t>ובהמשך:</w:t>
      </w:r>
    </w:p>
    <w:p w:rsidR="00B01C7F" w:rsidRDefault="00B01C7F" w:rsidP="00B01C7F">
      <w:pPr>
        <w:spacing w:after="40" w:line="312" w:lineRule="auto"/>
        <w:ind w:left="1440" w:right="567" w:hanging="873"/>
        <w:jc w:val="both"/>
        <w:rPr>
          <w:rFonts w:ascii="David" w:hAnsi="David"/>
          <w:b/>
          <w:bCs/>
          <w:sz w:val="22"/>
          <w:szCs w:val="22"/>
        </w:rPr>
      </w:pPr>
      <w:r>
        <w:rPr>
          <w:rFonts w:ascii="David" w:hAnsi="David"/>
          <w:b/>
          <w:bCs/>
          <w:rtl/>
        </w:rPr>
        <w:t>"איתן:</w:t>
      </w:r>
      <w:r>
        <w:rPr>
          <w:rFonts w:ascii="David" w:hAnsi="David"/>
          <w:b/>
          <w:bCs/>
          <w:rtl/>
        </w:rPr>
        <w:tab/>
        <w:t xml:space="preserve">אני לא אומר האם היה, אני אומר היה, אני שואל מה היה? וכמה היה? ומתי היה? </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 xml:space="preserve">: </w:t>
      </w:r>
      <w:r>
        <w:rPr>
          <w:rFonts w:ascii="David" w:hAnsi="David"/>
          <w:b/>
          <w:bCs/>
          <w:rtl/>
        </w:rPr>
        <w:tab/>
        <w:t>על יחסי מין?</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כן, יחסי מין.</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 xml:space="preserve">: </w:t>
      </w:r>
      <w:r>
        <w:rPr>
          <w:rFonts w:ascii="David" w:hAnsi="David"/>
          <w:b/>
          <w:bCs/>
          <w:rtl/>
        </w:rPr>
        <w:tab/>
        <w:t>לא, לא מאמינה כאילו...</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אני יכול להקריא לך מתוך העדות אם נגיע למצב כזה, אבל...</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אני, אני לא, לא מאמינה.</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אירית:</w:t>
      </w:r>
      <w:r>
        <w:rPr>
          <w:rFonts w:ascii="David" w:hAnsi="David"/>
          <w:b/>
          <w:bCs/>
          <w:rtl/>
        </w:rPr>
        <w:tab/>
        <w:t>אני חושבת שיותר עדיף מבחינתך בשבילך, כדאי לך לספר את האמת שלך, כי בואי נגיד שמה שניסו אמר... את יודעת, ברגע שהוא נמצא פה בחקירה הוא מוסר את הדברים כדי שייפו אותו, כדי שיסתדרו לו, אבל תחשבי עכשיו עליו, תחשבי עכשיו עלייך ועל...</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האמת, הייתה פעם... -------- אבל אני שוב אומרת, מה זה קטע של זה כי...</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הוא משקר?</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מה?</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ניסו משקר?</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אני לא יודעת מה הוא אומר, כאילו...</w:t>
      </w:r>
    </w:p>
    <w:p w:rsidR="00B01C7F" w:rsidRDefault="00B01C7F" w:rsidP="00B01C7F">
      <w:pPr>
        <w:spacing w:after="40" w:line="312" w:lineRule="auto"/>
        <w:ind w:left="1440" w:right="567" w:hanging="873"/>
        <w:jc w:val="both"/>
        <w:rPr>
          <w:rFonts w:ascii="David" w:hAnsi="David"/>
          <w:b/>
          <w:bCs/>
          <w:rtl/>
        </w:rPr>
      </w:pPr>
      <w:r>
        <w:rPr>
          <w:rFonts w:ascii="David" w:hAnsi="David"/>
          <w:b/>
          <w:bCs/>
          <w:rtl/>
        </w:rPr>
        <w:lastRenderedPageBreak/>
        <w:t>איתן:</w:t>
      </w:r>
      <w:r>
        <w:rPr>
          <w:rFonts w:ascii="David" w:hAnsi="David"/>
          <w:b/>
          <w:bCs/>
          <w:rtl/>
        </w:rPr>
        <w:tab/>
        <w:t>אני אומר, אני אומר לך שניסו אמר שהיה בניכם קשר, בין היתר בקשר היה מספר מקרים של יחסי מין בניכם, זה מה שהוא אומר, אני שואל אותך, הוא משקר?</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יחסי מין בנינו?</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יחסי מין בניכם.</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אני לא, אני לא, לא מסתדר, אבל כאילו, סליחה על הזה אני לא יודעת, לא...</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אני מבין את ההלם, אני מבין את ה...</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לא, כי קשה, פייר אני אגיד לך, כי קשה לי כאילו ל.... קשה לי ל... לחשוב שהוא יגיד דבר כזה כאילו...</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או-קי, קשה לחשוב שיגיד דבר כזה, תביני באיזו סיטואציה הוא היה, מה שקשה לך ואיך הוא אמר את זה ולא... איך הוא המציא את זה, כי הוא לא המציא את זה, הוא אמר, עכשיו את אומרת לעצמך איך הוא יכול לעשות את זה, איך הוא יכול להגיד את זה...</w:t>
      </w:r>
    </w:p>
    <w:p w:rsidR="00B01C7F" w:rsidRDefault="00B01C7F" w:rsidP="008C21CA">
      <w:pPr>
        <w:spacing w:after="160" w:line="360" w:lineRule="auto"/>
        <w:ind w:left="1440" w:right="567" w:hanging="873"/>
        <w:jc w:val="both"/>
        <w:rPr>
          <w:rFonts w:ascii="David" w:hAnsi="David"/>
          <w:b/>
          <w:bCs/>
          <w:rtl/>
        </w:rPr>
      </w:pPr>
      <w:r>
        <w:rPr>
          <w:rFonts w:ascii="David" w:hAnsi="David"/>
          <w:rtl/>
        </w:rPr>
        <w:t>התובעת</w:t>
      </w:r>
      <w:r>
        <w:rPr>
          <w:rFonts w:ascii="David" w:hAnsi="David"/>
          <w:b/>
          <w:bCs/>
          <w:rtl/>
        </w:rPr>
        <w:t xml:space="preserve">: לא, לא בקטע כזה, כאילו מה יחסי מין כאילו מה, בקטע של כאילו... לא יודעת, לא..." </w:t>
      </w:r>
      <w:r>
        <w:rPr>
          <w:rFonts w:ascii="David" w:hAnsi="David"/>
          <w:rtl/>
        </w:rPr>
        <w:t>(עמ' 2 - 4 לתמליל).</w:t>
      </w:r>
    </w:p>
    <w:p w:rsidR="00B01C7F" w:rsidRDefault="00B01C7F" w:rsidP="008C21CA">
      <w:pPr>
        <w:spacing w:line="360" w:lineRule="auto"/>
        <w:ind w:left="1440" w:right="567" w:hanging="873"/>
        <w:jc w:val="both"/>
        <w:rPr>
          <w:rFonts w:ascii="David" w:hAnsi="David"/>
          <w:rtl/>
        </w:rPr>
      </w:pPr>
    </w:p>
    <w:p w:rsidR="00B01C7F" w:rsidRDefault="00B01C7F" w:rsidP="008C21CA">
      <w:pPr>
        <w:pStyle w:val="af0"/>
        <w:numPr>
          <w:ilvl w:val="0"/>
          <w:numId w:val="1"/>
        </w:numPr>
        <w:spacing w:line="360" w:lineRule="auto"/>
        <w:ind w:left="357" w:hanging="357"/>
        <w:jc w:val="both"/>
        <w:rPr>
          <w:rFonts w:ascii="David" w:hAnsi="David" w:cs="David"/>
          <w:b/>
          <w:bCs/>
        </w:rPr>
      </w:pPr>
      <w:r>
        <w:rPr>
          <w:rFonts w:ascii="David" w:hAnsi="David" w:cs="David"/>
          <w:sz w:val="24"/>
          <w:szCs w:val="24"/>
          <w:rtl/>
        </w:rPr>
        <w:t xml:space="preserve">גם בהמשך החקירה, חרף בקשת החוקרים "לשמוע את האמת שלה", התובעת לא מסרה גרסה מפורטת לגבי הקשר שהיה בינה לבין שחם. התובעת אמרה כי המצב "לא נעים" לה, כי יש לה "הערכה גדולה" לשחם, כי לא נעשה דבר בניגוד לרצונה, וכי היא לא מבינה מדוע שחם אמר שהיה ביניהם קשר מיני. אביא חלק מהדברים כלשונם: </w:t>
      </w:r>
    </w:p>
    <w:p w:rsidR="00B01C7F" w:rsidRDefault="00B01C7F" w:rsidP="00B01C7F">
      <w:pPr>
        <w:spacing w:after="40" w:line="312" w:lineRule="auto"/>
        <w:ind w:left="1440" w:right="567" w:hanging="873"/>
        <w:jc w:val="both"/>
        <w:rPr>
          <w:rFonts w:ascii="David" w:hAnsi="David"/>
          <w:b/>
          <w:bCs/>
        </w:rPr>
      </w:pPr>
      <w:r>
        <w:rPr>
          <w:rFonts w:ascii="David" w:hAnsi="David"/>
          <w:rtl/>
        </w:rPr>
        <w:t>התובעת</w:t>
      </w:r>
      <w:r>
        <w:rPr>
          <w:rFonts w:ascii="David" w:hAnsi="David"/>
          <w:b/>
          <w:bCs/>
          <w:rtl/>
        </w:rPr>
        <w:t>:</w:t>
      </w:r>
      <w:r>
        <w:rPr>
          <w:rFonts w:ascii="David" w:hAnsi="David"/>
          <w:b/>
          <w:bCs/>
          <w:rtl/>
        </w:rPr>
        <w:tab/>
      </w:r>
      <w:r>
        <w:rPr>
          <w:rFonts w:ascii="David" w:hAnsi="David"/>
          <w:rtl/>
        </w:rPr>
        <w:t>"</w:t>
      </w:r>
      <w:r>
        <w:rPr>
          <w:rFonts w:ascii="David" w:hAnsi="David"/>
          <w:b/>
          <w:bCs/>
          <w:rtl/>
        </w:rPr>
        <w:t>... כאילו קשר חברי כן היה בנינו, יש לי כבוד, יש לי הערכה אליו יש לי הכול, כאילו באמת עם כל הכבוד, משהו בניגוד לרצוני, לא, הוא לא עשה משהו בניגוד לרצוני, זה לא היה קשור גם לכל מיני דברים כאילו אם אתם בקטע של... אולי זה לא יודעת מה, בקטע של משהו שקשור למשטרה וזה, אז כאילו גם תשכחו מזה כי זה לא, זהו, כאילו אין לי, אין לי מה ל...</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 xml:space="preserve">או-קי, אבל העובדה שהוא שוטר בכיר ואת שוטרת זוטרה יותר ויש בניכם קשר רומנטי, זה אנחנו מסכימים? </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מה זה קשר רומנטי?</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 xml:space="preserve">קשר רומנטי, קשר מיני, קשר חברי, קשר מקצועי וקשר מיני. </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איזה קשר מיני יש בנינו?</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יש בניכם כמה מפגשים של קיום יחסי מין, יש בניכם, זה מה שהוא אומר...</w:t>
      </w:r>
    </w:p>
    <w:p w:rsidR="00B01C7F" w:rsidRDefault="00B01C7F" w:rsidP="00B01C7F">
      <w:pPr>
        <w:spacing w:after="40" w:line="312" w:lineRule="auto"/>
        <w:ind w:left="1440" w:right="567" w:hanging="873"/>
        <w:jc w:val="both"/>
        <w:rPr>
          <w:rFonts w:ascii="David" w:hAnsi="David"/>
          <w:b/>
          <w:bCs/>
          <w:rtl/>
        </w:rPr>
      </w:pPr>
      <w:r>
        <w:rPr>
          <w:rFonts w:ascii="David" w:hAnsi="David"/>
          <w:rtl/>
        </w:rPr>
        <w:t>.........</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הוא משקר?</w:t>
      </w:r>
    </w:p>
    <w:p w:rsidR="00B01C7F" w:rsidRDefault="00B01C7F" w:rsidP="00B01C7F">
      <w:pPr>
        <w:spacing w:after="40" w:line="312" w:lineRule="auto"/>
        <w:ind w:left="1440" w:right="567" w:hanging="873"/>
        <w:jc w:val="both"/>
        <w:rPr>
          <w:rFonts w:ascii="David" w:hAnsi="David"/>
          <w:b/>
          <w:bCs/>
          <w:rtl/>
        </w:rPr>
      </w:pPr>
      <w:r>
        <w:rPr>
          <w:rFonts w:ascii="David" w:hAnsi="David"/>
          <w:rtl/>
        </w:rPr>
        <w:lastRenderedPageBreak/>
        <w:t>התובעת</w:t>
      </w:r>
      <w:r>
        <w:rPr>
          <w:rFonts w:ascii="David" w:hAnsi="David"/>
          <w:b/>
          <w:bCs/>
          <w:rtl/>
        </w:rPr>
        <w:t>:</w:t>
      </w:r>
      <w:r>
        <w:rPr>
          <w:rFonts w:ascii="David" w:hAnsi="David"/>
          <w:b/>
          <w:bCs/>
          <w:rtl/>
        </w:rPr>
        <w:tab/>
        <w:t xml:space="preserve">אם, אם תוכל להגיד לי בדיוק מה זה, אז אני.... באמת כאילו עם כל הכבוד. </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את באמת רוצה שאני אגיד?</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 xml:space="preserve">: </w:t>
      </w:r>
      <w:r>
        <w:rPr>
          <w:rFonts w:ascii="David" w:hAnsi="David"/>
          <w:b/>
          <w:bCs/>
          <w:rtl/>
        </w:rPr>
        <w:tab/>
        <w:t>כן.</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את לא חושבת שעדיף שאת תגידי?</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לא, כי אני לא יודעת כאילו מה זה, כי, כי הקשר, מתי...</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 xml:space="preserve">תראי... אנחנו על הגבול הדק בין ההבנה שלנו שקשה לך עם הסיטואציה ואנחנו מבינים את זה, או-קי, לבין פשוט את יודעת זה סוג של שיבוש חקירה בזה שאת לא משתפת פעולה בחקירה ואת לא... אנחנו אומרים לך שיש, את לא נותנת לנו תשובות, את מנסה להוציא מאיתנו מה אנחנו יודעים, זה לא עובד ככה, את פה ואת חייבת להגיד את האמת, את עדה ועל פי חוק את חייבת להגיד את האמת. </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היה בניכם... האם קיימת יחסי מין עם ניסו שחם? אני שואל את זה ככה, הכי, הכי פתוח.</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 xml:space="preserve">זה מה נראה לך, כאילו קטע ששכבתי איתו? </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 xml:space="preserve">זה מה שאני מכיר, לא מה זה יחסי... </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לא, כאילו עם כל הכבוד אז א....</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הוא אומר שכן, את אומרת שלא?</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לא.</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לא ש... לא שכבתם?</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 xml:space="preserve">אני, אני פייר... כאילו אם כל הכבוד, כאילם באמת עם כל הכבוד, נראה לי מוזר שהוא יגיד דבר כזה, פייר אגיד לך, למה שיגיד ששכבתי איתו? </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אבל עזבי לא מוזר, לא מוזר, אני שואל אותך האם זה נכון או לא נכון. לא אם זה מוזר או לא מוזר יש רק תשובה אחת, יש כן ויש לא, אין פה... אין אופציה, אין פה פרשנות, יש כן ויש לא, אין פרשנות (מדברים יחדיו לא ניתן להבין) האם קיימתם יחסי מין זה שאלה של כן ולא.</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יש פרשנות.</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 xml:space="preserve">אז מה, איך... איפה, איפה הפרשנות פה? בואי תסבירי לי מה לא ברור בשאלה הזאת? זה באמת מעניין אותי, מה לא ברור? </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לא, כי אני, אני לא, אני פייר אגיד לך כאילו אתה אמרת שקשר רומנטי קיימתם יחסי מין מספר פעמים...</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 xml:space="preserve">זאת השאלה, האם קיימת יחסי מין עם ניסו שחם, תמחקי את כל מה שאמרתי, קשר, לא קשר, האם קיימת יחסי מין עם ניסו שחם, זאת השאלה, זה שאלה של כן ולא. </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זה לא שאלה של כן ולא כי...</w:t>
      </w:r>
    </w:p>
    <w:p w:rsidR="00B01C7F" w:rsidRDefault="00B01C7F" w:rsidP="00B01C7F">
      <w:pPr>
        <w:spacing w:after="40" w:line="312" w:lineRule="auto"/>
        <w:ind w:left="1440" w:right="567" w:hanging="873"/>
        <w:jc w:val="both"/>
        <w:rPr>
          <w:rFonts w:ascii="David" w:hAnsi="David"/>
          <w:b/>
          <w:bCs/>
          <w:rtl/>
        </w:rPr>
      </w:pPr>
      <w:r>
        <w:rPr>
          <w:rFonts w:ascii="David" w:hAnsi="David"/>
          <w:b/>
          <w:bCs/>
          <w:rtl/>
        </w:rPr>
        <w:lastRenderedPageBreak/>
        <w:t>איתן:</w:t>
      </w:r>
      <w:r>
        <w:rPr>
          <w:rFonts w:ascii="David" w:hAnsi="David"/>
          <w:b/>
          <w:bCs/>
          <w:rtl/>
        </w:rPr>
        <w:tab/>
        <w:t>יש... או-קי, יש סוגים של יחסי מין, או-קי, תגידי לי היה משהו אחד, היה משהו אחר, היה מעשה כזה או אחר, תגידי לי מה היה. לא נקרא לזה יחסי מין, נקרא לזה לעשות ביד, נקרא לזה מציצה, נקרא לזה חדירה, נקרא לזה איך שאת רוצה, תגידי מה היה. לא נקרא לזה יחסי מין.</w:t>
      </w:r>
    </w:p>
    <w:p w:rsidR="00B01C7F" w:rsidRDefault="00B01C7F" w:rsidP="00B01C7F">
      <w:pPr>
        <w:spacing w:after="40" w:line="312" w:lineRule="auto"/>
        <w:ind w:left="1440" w:right="567"/>
        <w:jc w:val="both"/>
        <w:rPr>
          <w:rFonts w:ascii="David" w:hAnsi="David"/>
          <w:b/>
          <w:bCs/>
          <w:rtl/>
        </w:rPr>
      </w:pPr>
      <w:r>
        <w:rPr>
          <w:rFonts w:ascii="David" w:hAnsi="David"/>
          <w:b/>
          <w:bCs/>
          <w:rtl/>
        </w:rPr>
        <w:t>.....</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איתן:</w:t>
      </w:r>
      <w:r>
        <w:rPr>
          <w:rFonts w:ascii="David" w:hAnsi="David"/>
          <w:b/>
          <w:bCs/>
          <w:rtl/>
        </w:rPr>
        <w:tab/>
        <w:t xml:space="preserve">... אני בחיים לא הייתי בא לבחורה ואומר לה את קיימת יחסי מין עם מישהו שאני... כשזה לא היה, אני לא עובד ככה ולא הייתי עושה דבר כזה בחיים, אני, אם אני שואל אותך זה כי אני יודע. </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בוא אני אגיד לך משהו כזה, אני כרגע במצב, אני לא יודעת כאילו איזה... מה, מה נמסר או דברים כאלה, אבל יש לי כל כך באמת הערכה לבן אדם הזה שבאמת עם כל הכבוד, אני, אני לא יודעת ל... מה הכיוון שלכם אבל שוב אני רק יכולה להגיד א... הקשר היה כאילו קשר בנינו קשר חברי לא קשור לענין הזה של ... שהוא מפקד שלי או לא יודעת מה אפילו בקטע ש.... זה, לא קשור לשום משהו שקשור לא יודעת כל הדברים האחרים שם, ממש לא קשר חברי ולא נעשה שום דבר ממה שזה בקטע של....</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אירית:</w:t>
      </w:r>
      <w:r>
        <w:rPr>
          <w:rFonts w:ascii="David" w:hAnsi="David"/>
          <w:b/>
          <w:bCs/>
          <w:rtl/>
        </w:rPr>
        <w:tab/>
        <w:t>הוא אמר שקיימתם יחסי מין, זה היה?</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מה קיימנו יחסי מין, אני לא מבינה את הזה באמת כאילו...</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 xml:space="preserve">איתן: </w:t>
      </w:r>
      <w:r>
        <w:rPr>
          <w:rFonts w:ascii="David" w:hAnsi="David"/>
          <w:b/>
          <w:bCs/>
          <w:rtl/>
        </w:rPr>
        <w:tab/>
        <w:t>אז תסבירי לנו...כאילו אני לא מבין את המושג יחסי מין אצלך הוא כנראה משהו שאני לא מבין, כאילו יכול להיות שהפרשנות שלך היא אחרת, אז אני שואל אותך מה כן היה....לא אומר יחסי מין, לא אומר זה, מדבר על מעשים, מעשים מיניים....די אנחנו ילדים גדולים כולנו...אנחנו יודעים מה אנחנו מדברים...</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אני, אני, אני לא...באמת עם כל הכבוד, אני לא יודעת כאילו...</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ab/>
        <w:t>מה שאתם מוסרים לי.. לא יודעת...אני פשוט לא יודעת משהו פה לא מסתדר לי.</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 xml:space="preserve">איתן: </w:t>
      </w:r>
      <w:r>
        <w:rPr>
          <w:rFonts w:ascii="David" w:hAnsi="David"/>
          <w:b/>
          <w:bCs/>
          <w:rtl/>
        </w:rPr>
        <w:tab/>
        <w:t>את חושבת כשאני אומר לך שאני יודע שקיימת יחסי מין עם ניסו שחם, אז אני לא יודע על מה אני מדבר? כאילו אני ממציא את זה, זה מה שאת חושבת?</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 xml:space="preserve">יש מצב </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 xml:space="preserve">איתן: </w:t>
      </w:r>
      <w:r>
        <w:rPr>
          <w:rFonts w:ascii="David" w:hAnsi="David"/>
          <w:b/>
          <w:bCs/>
          <w:rtl/>
        </w:rPr>
        <w:tab/>
        <w:t>יש מצב? את חושבת שאני הייתי מסכן את הקריירה שלי ואת הכבוד העצמי שלי ולבוא לבחורה לשוטרת להגיד לה...להמציא לה כזה דבר?.....</w:t>
      </w:r>
    </w:p>
    <w:p w:rsidR="00B01C7F" w:rsidRDefault="00B01C7F" w:rsidP="00B01C7F">
      <w:pPr>
        <w:spacing w:after="40" w:line="312" w:lineRule="auto"/>
        <w:ind w:left="1440" w:right="567" w:hanging="873"/>
        <w:jc w:val="both"/>
        <w:rPr>
          <w:rFonts w:ascii="David" w:hAnsi="David"/>
          <w:rtl/>
        </w:rPr>
      </w:pPr>
      <w:r>
        <w:rPr>
          <w:rFonts w:ascii="David" w:hAnsi="David"/>
          <w:b/>
          <w:bCs/>
          <w:rtl/>
        </w:rPr>
        <w:t xml:space="preserve">איתן: </w:t>
      </w:r>
      <w:r>
        <w:rPr>
          <w:rFonts w:ascii="David" w:hAnsi="David"/>
          <w:b/>
          <w:bCs/>
          <w:rtl/>
        </w:rPr>
        <w:tab/>
        <w:t xml:space="preserve">...אז אני אגיד לך, אני לא הייתי עושה דבר כזה...ואני שואל אותך על דברים, מקרים ספציפיים שאני יודע מה אני שואל וחשוב לי שאת פשוט תגידי את הדברים..." </w:t>
      </w:r>
      <w:r>
        <w:rPr>
          <w:rFonts w:ascii="David" w:hAnsi="David"/>
          <w:rtl/>
        </w:rPr>
        <w:t>(עמ' 8 - 12 לתמליל).</w:t>
      </w:r>
    </w:p>
    <w:p w:rsidR="00B01C7F" w:rsidRDefault="00B01C7F" w:rsidP="00B01C7F">
      <w:pPr>
        <w:spacing w:after="40" w:line="312" w:lineRule="auto"/>
        <w:ind w:left="1440" w:right="567" w:hanging="873"/>
        <w:jc w:val="both"/>
        <w:rPr>
          <w:rFonts w:ascii="David" w:hAnsi="David"/>
          <w:rtl/>
        </w:rPr>
      </w:pPr>
    </w:p>
    <w:p w:rsidR="00B01C7F" w:rsidRDefault="00B01C7F" w:rsidP="008C21CA">
      <w:pPr>
        <w:pStyle w:val="af0"/>
        <w:numPr>
          <w:ilvl w:val="0"/>
          <w:numId w:val="1"/>
        </w:numPr>
        <w:spacing w:line="360" w:lineRule="auto"/>
        <w:ind w:left="357" w:hanging="357"/>
        <w:jc w:val="both"/>
        <w:rPr>
          <w:rFonts w:ascii="David" w:hAnsi="David" w:cs="David"/>
          <w:b/>
          <w:bCs/>
          <w:rtl/>
        </w:rPr>
      </w:pPr>
      <w:r>
        <w:rPr>
          <w:rFonts w:ascii="David" w:hAnsi="David" w:cs="David"/>
          <w:sz w:val="24"/>
          <w:szCs w:val="24"/>
          <w:rtl/>
        </w:rPr>
        <w:lastRenderedPageBreak/>
        <w:t xml:space="preserve">בהמשך החקירה, התובעת אומרת לחוקרת אירית: </w:t>
      </w:r>
      <w:r>
        <w:rPr>
          <w:rFonts w:ascii="David" w:hAnsi="David" w:cs="David"/>
          <w:b/>
          <w:bCs/>
          <w:rtl/>
        </w:rPr>
        <w:t>"</w:t>
      </w:r>
      <w:r>
        <w:rPr>
          <w:rFonts w:ascii="David" w:hAnsi="David" w:cs="David"/>
          <w:b/>
          <w:bCs/>
          <w:sz w:val="24"/>
          <w:szCs w:val="24"/>
          <w:rtl/>
        </w:rPr>
        <w:t xml:space="preserve">בואי לפחות תתני לי מקרה אחד ש... ואני אגיד לך אם היה או לא היה דבר כזה..." </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ואולם</w:t>
      </w:r>
      <w:r>
        <w:rPr>
          <w:rFonts w:ascii="David" w:hAnsi="David" w:cs="David"/>
          <w:b/>
          <w:bCs/>
          <w:sz w:val="24"/>
          <w:szCs w:val="24"/>
          <w:rtl/>
        </w:rPr>
        <w:t xml:space="preserve">, </w:t>
      </w:r>
      <w:r>
        <w:rPr>
          <w:rFonts w:ascii="David" w:hAnsi="David" w:cs="David"/>
          <w:sz w:val="24"/>
          <w:szCs w:val="24"/>
          <w:rtl/>
        </w:rPr>
        <w:t>גם כאשר היא נשאלת מה היה ביער ירושלים?</w:t>
      </w:r>
      <w:r>
        <w:rPr>
          <w:rFonts w:ascii="David" w:hAnsi="David" w:cs="David"/>
          <w:b/>
          <w:bCs/>
          <w:rtl/>
        </w:rPr>
        <w:t xml:space="preserve"> </w:t>
      </w:r>
      <w:r>
        <w:rPr>
          <w:rFonts w:ascii="David" w:hAnsi="David" w:cs="David"/>
          <w:sz w:val="24"/>
          <w:szCs w:val="24"/>
          <w:rtl/>
        </w:rPr>
        <w:t xml:space="preserve">התובעת לא מוסרת מיד גרסה לגבי אותו מפגש, אלא שבה ושואלת לגבי הגרסה של שחם. עם זאת, התובעת מבהירה שלא נעשה דבר שלא לפי רצונה, כדלקמן: </w:t>
      </w:r>
    </w:p>
    <w:p w:rsidR="00B01C7F" w:rsidRDefault="00B01C7F" w:rsidP="00B01C7F">
      <w:pPr>
        <w:spacing w:after="40" w:line="312" w:lineRule="auto"/>
        <w:ind w:left="1440" w:right="567" w:hanging="873"/>
        <w:jc w:val="both"/>
        <w:rPr>
          <w:rFonts w:ascii="David" w:hAnsi="David"/>
          <w:b/>
          <w:bCs/>
        </w:rPr>
      </w:pPr>
      <w:r>
        <w:rPr>
          <w:rFonts w:ascii="David" w:hAnsi="David"/>
          <w:b/>
          <w:bCs/>
          <w:rtl/>
        </w:rPr>
        <w:t>"אירית:</w:t>
      </w:r>
      <w:r>
        <w:rPr>
          <w:rFonts w:ascii="David" w:hAnsi="David"/>
          <w:b/>
          <w:bCs/>
          <w:rtl/>
        </w:rPr>
        <w:tab/>
        <w:t>הרי את יודעת כמה פעמים נפגשת עם ניסו שלא בנוכחות אחרים, מתי בדיוק, איפה זה היה ומה בדיוק עשיתם במפגשים האלה, מה את רוצה שאני אשאל אותך, את רוצה שבאמת אני אד לרמה שאני אשאל אותך, תגידי האם ניסו החדיר לך את איבר המין שלו לאיבר המין שלך מקדימה, לרמת פירוט כזו את רוצה שאני אשאל?</w:t>
      </w:r>
    </w:p>
    <w:p w:rsidR="00B01C7F" w:rsidRDefault="00B01C7F" w:rsidP="00B01C7F">
      <w:pPr>
        <w:spacing w:after="40" w:line="312" w:lineRule="auto"/>
        <w:ind w:left="720" w:firstLine="720"/>
        <w:jc w:val="both"/>
        <w:rPr>
          <w:rFonts w:ascii="David" w:hAnsi="David"/>
          <w:b/>
          <w:bCs/>
          <w:rtl/>
        </w:rPr>
      </w:pPr>
      <w:r>
        <w:rPr>
          <w:rFonts w:ascii="David" w:hAnsi="David"/>
          <w:b/>
          <w:bCs/>
          <w:rtl/>
        </w:rPr>
        <w:t>.....</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את רוצה להגיד לי שהוא אמר לך שהייתה חדירה א.... זה?</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אירית:</w:t>
      </w:r>
      <w:r>
        <w:rPr>
          <w:rFonts w:ascii="David" w:hAnsi="David"/>
          <w:b/>
          <w:bCs/>
          <w:rtl/>
        </w:rPr>
        <w:tab/>
        <w:t>דיבר על יחסי מין, תקראי לזה איך שאת רוצה, סקס, איך שאת רוצה.</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אני אשמח לראות א... זה באמת כאילו...</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אירית:</w:t>
      </w:r>
      <w:r>
        <w:rPr>
          <w:rFonts w:ascii="David" w:hAnsi="David"/>
          <w:b/>
          <w:bCs/>
          <w:rtl/>
        </w:rPr>
        <w:tab/>
        <w:t>אבל את חוקרת, את יודעת שזה לא עובד ככה.</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לא, למה? אפשר א.... זה כן יכול לעבוד ככה, כי נראה לי...</w:t>
      </w:r>
    </w:p>
    <w:p w:rsidR="00B01C7F" w:rsidRDefault="00B01C7F" w:rsidP="00B01C7F">
      <w:pPr>
        <w:spacing w:after="40" w:line="312" w:lineRule="auto"/>
        <w:ind w:left="720" w:firstLine="720"/>
        <w:jc w:val="both"/>
        <w:rPr>
          <w:rFonts w:ascii="David" w:hAnsi="David"/>
          <w:b/>
          <w:bCs/>
          <w:rtl/>
        </w:rPr>
      </w:pPr>
      <w:r>
        <w:rPr>
          <w:rFonts w:ascii="David" w:hAnsi="David"/>
          <w:b/>
          <w:bCs/>
          <w:rtl/>
        </w:rPr>
        <w:t>.....</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עם כל הכבוד הקשר הזה היה מבחינת קטע של לא היה משהו בכפיה ולא היה משהו שכאילו לא היה נעים ל.... בקטע של אני יודעת, אם הייתי מתקשרת אליו ומשהו היה מרגיש לא נעים, או שאני לא הייתי מרגישה אה... ממש לא."</w:t>
      </w:r>
    </w:p>
    <w:p w:rsidR="00B01C7F" w:rsidRDefault="00B01C7F" w:rsidP="00B01C7F">
      <w:pPr>
        <w:spacing w:after="40" w:line="312" w:lineRule="auto"/>
        <w:ind w:left="1440" w:right="567"/>
        <w:jc w:val="both"/>
        <w:rPr>
          <w:rFonts w:ascii="David" w:hAnsi="David"/>
          <w:b/>
          <w:bCs/>
          <w:rtl/>
        </w:rPr>
      </w:pPr>
      <w:r>
        <w:rPr>
          <w:rFonts w:ascii="David" w:hAnsi="David"/>
          <w:b/>
          <w:bCs/>
          <w:rtl/>
        </w:rPr>
        <w:t>..........</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אירית:</w:t>
      </w:r>
      <w:r>
        <w:rPr>
          <w:rFonts w:ascii="David" w:hAnsi="David"/>
          <w:b/>
          <w:bCs/>
          <w:rtl/>
        </w:rPr>
        <w:tab/>
        <w:t xml:space="preserve">התנשקתם פעם בפה? </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 xml:space="preserve">כן, כן. </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אירית:</w:t>
      </w:r>
      <w:r>
        <w:rPr>
          <w:rFonts w:ascii="David" w:hAnsi="David"/>
          <w:b/>
          <w:bCs/>
          <w:rtl/>
        </w:rPr>
        <w:tab/>
        <w:t>כמה פעמים זה קרה בערך?</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אירית:</w:t>
      </w:r>
      <w:r>
        <w:rPr>
          <w:rFonts w:ascii="David" w:hAnsi="David"/>
          <w:b/>
          <w:bCs/>
          <w:rtl/>
        </w:rPr>
        <w:tab/>
        <w:t>פעם, פעמיים, עשר? בסדר, יותר מפעם אחת, נכון?</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w:t>
      </w:r>
    </w:p>
    <w:p w:rsidR="00B01C7F" w:rsidRDefault="00B01C7F" w:rsidP="00B01C7F">
      <w:pPr>
        <w:spacing w:after="40" w:line="312" w:lineRule="auto"/>
        <w:ind w:left="1440" w:right="567" w:hanging="873"/>
        <w:jc w:val="both"/>
        <w:rPr>
          <w:rFonts w:ascii="David" w:hAnsi="David"/>
          <w:b/>
          <w:bCs/>
          <w:rtl/>
        </w:rPr>
      </w:pPr>
      <w:r>
        <w:rPr>
          <w:rFonts w:ascii="David" w:hAnsi="David"/>
          <w:b/>
          <w:bCs/>
          <w:rtl/>
        </w:rPr>
        <w:t>אירית:</w:t>
      </w:r>
      <w:r>
        <w:rPr>
          <w:rFonts w:ascii="David" w:hAnsi="David"/>
          <w:b/>
          <w:bCs/>
          <w:rtl/>
        </w:rPr>
        <w:tab/>
        <w:t>זה בסדר, הוא אמר את זה, זה בסדר, את יכולה...</w:t>
      </w:r>
    </w:p>
    <w:p w:rsidR="00B01C7F" w:rsidRDefault="00B01C7F" w:rsidP="00B01C7F">
      <w:pPr>
        <w:spacing w:after="40" w:line="312" w:lineRule="auto"/>
        <w:ind w:left="1440" w:right="567" w:hanging="873"/>
        <w:jc w:val="both"/>
        <w:rPr>
          <w:rFonts w:ascii="David" w:hAnsi="David"/>
          <w:b/>
          <w:bCs/>
          <w:rtl/>
        </w:rPr>
      </w:pPr>
      <w:r>
        <w:rPr>
          <w:rFonts w:ascii="David" w:hAnsi="David"/>
          <w:rtl/>
        </w:rPr>
        <w:t>התובעת</w:t>
      </w:r>
      <w:r>
        <w:rPr>
          <w:rFonts w:ascii="David" w:hAnsi="David"/>
          <w:b/>
          <w:bCs/>
          <w:rtl/>
        </w:rPr>
        <w:t>:</w:t>
      </w:r>
      <w:r>
        <w:rPr>
          <w:rFonts w:ascii="David" w:hAnsi="David"/>
          <w:b/>
          <w:bCs/>
          <w:rtl/>
        </w:rPr>
        <w:tab/>
        <w:t>לא, אני מנסה ל... זה, את אומר לי כמה פעמים, זה לא היה איזה, כאילו... לא ש... תביני זה בן אדם שאפילו ראו כאילו ש.... זה, גם כשהוא כל הזמן היה עובר לומר לי שלום, ------ הנשיקות האלה, כאילו לא.... את מבינה זה לא כאילו ... כולם ראו שזה קשר חברי, לא ש... אני לא יודעת מה, אבל לבוא ולהגיד לי אם קטע של חדירה או דברים כאלה באמת זה לא... "</w:t>
      </w:r>
      <w:r>
        <w:rPr>
          <w:rFonts w:ascii="David" w:hAnsi="David"/>
          <w:rtl/>
        </w:rPr>
        <w:t xml:space="preserve"> (עמ' 14 - 17 לתמליל)</w:t>
      </w:r>
      <w:r>
        <w:rPr>
          <w:rFonts w:ascii="David" w:hAnsi="David"/>
          <w:b/>
          <w:bCs/>
          <w:rtl/>
        </w:rPr>
        <w:t>.</w:t>
      </w:r>
    </w:p>
    <w:p w:rsidR="00B01C7F" w:rsidRDefault="00B01C7F" w:rsidP="008C21CA">
      <w:pPr>
        <w:spacing w:line="360" w:lineRule="auto"/>
        <w:ind w:left="1440" w:right="567" w:hanging="873"/>
        <w:jc w:val="both"/>
        <w:rPr>
          <w:rFonts w:ascii="David" w:hAnsi="David"/>
          <w:b/>
          <w:bCs/>
          <w:rtl/>
        </w:rPr>
      </w:pPr>
    </w:p>
    <w:p w:rsidR="008C21CA" w:rsidRDefault="008C21CA" w:rsidP="00B01C7F">
      <w:pPr>
        <w:spacing w:line="360" w:lineRule="auto"/>
        <w:ind w:left="357"/>
        <w:jc w:val="both"/>
        <w:rPr>
          <w:rFonts w:ascii="David" w:hAnsi="David"/>
          <w:rtl/>
        </w:rPr>
      </w:pPr>
    </w:p>
    <w:p w:rsidR="008C21CA" w:rsidRDefault="008C21CA" w:rsidP="00B01C7F">
      <w:pPr>
        <w:spacing w:line="360" w:lineRule="auto"/>
        <w:ind w:left="357"/>
        <w:jc w:val="both"/>
        <w:rPr>
          <w:rFonts w:ascii="David" w:hAnsi="David"/>
          <w:rtl/>
        </w:rPr>
      </w:pPr>
    </w:p>
    <w:p w:rsidR="00B01C7F" w:rsidRDefault="00B01C7F" w:rsidP="00AD4EE6">
      <w:pPr>
        <w:spacing w:after="160" w:line="360" w:lineRule="auto"/>
        <w:ind w:left="357"/>
        <w:jc w:val="both"/>
        <w:rPr>
          <w:rFonts w:ascii="David" w:hAnsi="David"/>
          <w:rtl/>
        </w:rPr>
      </w:pPr>
      <w:r>
        <w:rPr>
          <w:rFonts w:ascii="David" w:hAnsi="David"/>
          <w:rtl/>
        </w:rPr>
        <w:t>בהמשך החקירה, התובעת נשאל</w:t>
      </w:r>
      <w:r w:rsidR="00AD4EE6">
        <w:rPr>
          <w:rFonts w:ascii="David" w:hAnsi="David" w:hint="cs"/>
          <w:rtl/>
        </w:rPr>
        <w:t>ה</w:t>
      </w:r>
      <w:r>
        <w:rPr>
          <w:rFonts w:ascii="David" w:hAnsi="David"/>
          <w:rtl/>
        </w:rPr>
        <w:t xml:space="preserve"> לגבי פרטי פרטים של אותו מפגש מיני שהיה בינה ובין שחם ביער ירושלים ובכלל זה השאלות שעליהן היא מלינה כמפורט בסעיף 28 לפסק הדין. </w:t>
      </w:r>
    </w:p>
    <w:p w:rsidR="008C21CA" w:rsidRDefault="008C21CA" w:rsidP="00B01C7F">
      <w:pPr>
        <w:spacing w:line="360" w:lineRule="auto"/>
        <w:ind w:left="357"/>
        <w:jc w:val="both"/>
        <w:rPr>
          <w:rFonts w:ascii="David" w:hAnsi="David"/>
          <w:rtl/>
        </w:rPr>
      </w:pPr>
    </w:p>
    <w:p w:rsidR="00B01C7F" w:rsidRDefault="00B01C7F" w:rsidP="00B01C7F">
      <w:pPr>
        <w:spacing w:line="360" w:lineRule="auto"/>
        <w:ind w:firstLine="357"/>
        <w:jc w:val="both"/>
        <w:rPr>
          <w:rFonts w:ascii="David" w:hAnsi="David"/>
          <w:b/>
          <w:bCs/>
          <w:rtl/>
        </w:rPr>
      </w:pPr>
      <w:r>
        <w:rPr>
          <w:rFonts w:ascii="David" w:hAnsi="David"/>
          <w:b/>
          <w:bCs/>
          <w:rtl/>
        </w:rPr>
        <w:t>דיון</w:t>
      </w:r>
    </w:p>
    <w:p w:rsidR="00B01C7F" w:rsidRDefault="00B01C7F" w:rsidP="008C21CA">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לא בכדי הבאתי חלקים ארוכים מהחקירה שערכה שעות רבות, כלשונם. מהדברים אכן עולה כי התובעת לא מסרה מיוזמתה פרטים על הקשר האינטימי שהיה לה עם שחם ובתחילת החקירה אף הגדירה את הקשר כקשר חברי גרידא, מה שאינו עולה בקנה אחד עם חובתה לומר אמת בחקירה. גם כאשר התובעת נשאלה באופן ישיר וממוקד על מה שקרה ביער ירושלים, היא לא מסרה מיד את גרסתה ואף טענה בתחילה שאינה זוכרת.  </w:t>
      </w:r>
    </w:p>
    <w:p w:rsidR="00B01C7F" w:rsidRDefault="00B01C7F" w:rsidP="00074406">
      <w:pPr>
        <w:pStyle w:val="af0"/>
        <w:spacing w:after="0" w:line="360" w:lineRule="auto"/>
        <w:ind w:left="357"/>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עם זאת, אין בידי לקבל את טענת הנתבעת כי השאלות החודרניות והחטטניות שנשאלו במסגרת החקירה בנוגע לפרטי המעשה המיני באותו מפגש ביער ירושלים, היו נדרשות נוכח התנהלותה של התובעת וחוסר שיתוף הפעולה שלה עם החקירה - ואפרט.</w:t>
      </w:r>
    </w:p>
    <w:p w:rsidR="00B01C7F" w:rsidRDefault="00B01C7F" w:rsidP="00B01C7F">
      <w:pPr>
        <w:spacing w:line="360" w:lineRule="auto"/>
        <w:ind w:left="357"/>
        <w:jc w:val="both"/>
        <w:rPr>
          <w:rFonts w:ascii="David" w:hAnsi="David"/>
          <w:rtl/>
        </w:rPr>
      </w:pPr>
      <w:r>
        <w:rPr>
          <w:rFonts w:ascii="David" w:hAnsi="David"/>
          <w:rtl/>
        </w:rPr>
        <w:t xml:space="preserve">ראשית, יש לזכור כי התובעת לא הגישה תלונה אלא זומנה למח"ש למסירת הודעה כעדה, וכי מדובר בנושאים אינטימיים ורגישים שהרצון שלא לחשוף אותם הוא מובן ואנושי, זאת גם כשמדובר בחקירה שיש אינטרס ציבורי חשוב בקיומה. </w:t>
      </w:r>
    </w:p>
    <w:p w:rsidR="00B01C7F" w:rsidRDefault="00B01C7F" w:rsidP="00B01C7F">
      <w:pPr>
        <w:spacing w:line="360" w:lineRule="auto"/>
        <w:ind w:left="357"/>
        <w:jc w:val="both"/>
        <w:rPr>
          <w:rFonts w:ascii="David" w:hAnsi="David"/>
          <w:rtl/>
        </w:rPr>
      </w:pPr>
      <w:r>
        <w:rPr>
          <w:rFonts w:ascii="David" w:hAnsi="David"/>
          <w:rtl/>
        </w:rPr>
        <w:t xml:space="preserve">אכן, התובעת לא שיתפה פעולה ולא מסרה מיוזמתה גרסת אמת מלאה אודות הקשר שהיה לה עם שחם ואף תארה את הקשר כ </w:t>
      </w:r>
      <w:r>
        <w:rPr>
          <w:rFonts w:ascii="David" w:hAnsi="David"/>
          <w:b/>
          <w:bCs/>
          <w:rtl/>
        </w:rPr>
        <w:t xml:space="preserve">"...קשר מקצועי, קשר חברי, לא לא מעבר לזה" </w:t>
      </w:r>
      <w:r>
        <w:rPr>
          <w:rFonts w:ascii="David" w:hAnsi="David"/>
          <w:rtl/>
        </w:rPr>
        <w:t xml:space="preserve">(עמ' 2 לתמליל). בנסיבות אלה, דרישה בלתי מתפשרת של החוקרים לקבל מהתובעת גרסת אמת מפורטת היא לגיטימית אך אין בה כדי להצדיק שאלות פוגעניות וחטטניות שלא לצורך. </w:t>
      </w:r>
    </w:p>
    <w:p w:rsidR="00B01C7F" w:rsidRDefault="00B01C7F" w:rsidP="00B01C7F">
      <w:pPr>
        <w:spacing w:line="360" w:lineRule="auto"/>
        <w:ind w:left="357"/>
        <w:jc w:val="both"/>
        <w:rPr>
          <w:rFonts w:ascii="David" w:hAnsi="David"/>
          <w:rtl/>
        </w:rPr>
      </w:pPr>
      <w:r>
        <w:rPr>
          <w:rFonts w:ascii="David" w:hAnsi="David"/>
          <w:rtl/>
        </w:rPr>
        <w:t>שנית, בתחילת החקירה החוקר איתן אומר לתובעת כי שחם מסר בחקירתו שהיו "</w:t>
      </w:r>
      <w:r>
        <w:rPr>
          <w:rFonts w:ascii="David" w:hAnsi="David"/>
          <w:b/>
          <w:bCs/>
          <w:rtl/>
        </w:rPr>
        <w:t>מספר מקרים של יחסי מין"</w:t>
      </w:r>
      <w:r>
        <w:rPr>
          <w:rFonts w:ascii="David" w:hAnsi="David"/>
          <w:rtl/>
        </w:rPr>
        <w:t xml:space="preserve"> (עמ' 4 לתמליל), ובהמשך: </w:t>
      </w:r>
      <w:r>
        <w:rPr>
          <w:rFonts w:ascii="David" w:hAnsi="David"/>
          <w:b/>
          <w:bCs/>
          <w:rtl/>
        </w:rPr>
        <w:t xml:space="preserve">"יש ביניכם כמה מפגשים של קיום יחסי מין...זה מה שהוא אמר" </w:t>
      </w:r>
      <w:r>
        <w:rPr>
          <w:rFonts w:ascii="David" w:hAnsi="David"/>
          <w:rtl/>
        </w:rPr>
        <w:t xml:space="preserve">(עמ' 9 לתמליל). אמירות אלה שהוטחו בפני התובעת כי שחם אמר כביכול שהיו "מספר מקרים" של יחסי מין, אינן נכונות ולמצער, אינן מדויקות שכן שחם מסר בעדותו שהיה מפגש מיני ביער ירושלים, וכנשאל לגבי מפגשים נוספים, השיב: </w:t>
      </w:r>
      <w:r>
        <w:rPr>
          <w:rFonts w:ascii="David" w:hAnsi="David"/>
          <w:b/>
          <w:bCs/>
          <w:rtl/>
        </w:rPr>
        <w:t xml:space="preserve">"אני לא זוכר, אולי עוד פעם אחת". </w:t>
      </w:r>
    </w:p>
    <w:p w:rsidR="00B01C7F" w:rsidRDefault="00B01C7F" w:rsidP="00B01C7F">
      <w:pPr>
        <w:spacing w:line="360" w:lineRule="auto"/>
        <w:ind w:left="357"/>
        <w:jc w:val="both"/>
        <w:rPr>
          <w:rFonts w:ascii="David" w:hAnsi="David"/>
          <w:rtl/>
        </w:rPr>
      </w:pPr>
      <w:r>
        <w:rPr>
          <w:rFonts w:ascii="David" w:hAnsi="David"/>
          <w:rtl/>
        </w:rPr>
        <w:t xml:space="preserve">בפתח החקירה נראה כי התובעת התחילה לספר את גרסתה, ואמרה: </w:t>
      </w:r>
      <w:r>
        <w:rPr>
          <w:rFonts w:ascii="David" w:hAnsi="David"/>
          <w:b/>
          <w:bCs/>
          <w:rtl/>
        </w:rPr>
        <w:t>"האמת, היתה פעם ...אבל אני שוב אומרת מה זה קטע של זה כי.."</w:t>
      </w:r>
      <w:r>
        <w:rPr>
          <w:rFonts w:ascii="David" w:hAnsi="David"/>
          <w:rtl/>
        </w:rPr>
        <w:t xml:space="preserve"> (עמ' 3 לתמליל). במקום לאפשר לתובעת להמשיך את דבריה ולפרט מה כוונתה ב"</w:t>
      </w:r>
      <w:r>
        <w:rPr>
          <w:rFonts w:ascii="David" w:hAnsi="David"/>
          <w:b/>
          <w:bCs/>
          <w:rtl/>
        </w:rPr>
        <w:t>היתה פעם...",</w:t>
      </w:r>
      <w:r>
        <w:rPr>
          <w:rFonts w:ascii="David" w:hAnsi="David"/>
          <w:rtl/>
        </w:rPr>
        <w:t xml:space="preserve"> החוקר איתן, מפסיק את דבריה ושואל: "</w:t>
      </w:r>
      <w:r>
        <w:rPr>
          <w:rFonts w:ascii="David" w:hAnsi="David"/>
          <w:b/>
          <w:bCs/>
          <w:rtl/>
        </w:rPr>
        <w:t>הוא משקר? ...ניסו משקר?...אני אומר לך שניסו אמר שהיה בינכם קשר, בין היתר היה מספר מקרים של יחסי מין ביניכם, זה מה שהוא אומר, אני שואל אותך הוא משקר?</w:t>
      </w:r>
      <w:r>
        <w:rPr>
          <w:rFonts w:ascii="David" w:hAnsi="David"/>
          <w:rtl/>
        </w:rPr>
        <w:t xml:space="preserve"> (עמ' 4 לתמליל) - וכאמור, שחם לא אמר את הדברים. </w:t>
      </w:r>
    </w:p>
    <w:p w:rsidR="00B01C7F" w:rsidRDefault="00B01C7F" w:rsidP="00B01C7F">
      <w:pPr>
        <w:spacing w:line="360" w:lineRule="auto"/>
        <w:ind w:left="357"/>
        <w:jc w:val="both"/>
        <w:rPr>
          <w:rFonts w:ascii="David" w:hAnsi="David"/>
          <w:rtl/>
        </w:rPr>
      </w:pPr>
      <w:r>
        <w:rPr>
          <w:rFonts w:ascii="David" w:hAnsi="David"/>
          <w:rtl/>
        </w:rPr>
        <w:lastRenderedPageBreak/>
        <w:t>בנסיבות אלה נראה כי החזרה על האמירה הלא נכונה ששחם העיד על "</w:t>
      </w:r>
      <w:r>
        <w:rPr>
          <w:rFonts w:ascii="David" w:hAnsi="David"/>
          <w:b/>
          <w:bCs/>
          <w:rtl/>
        </w:rPr>
        <w:t>מספר מקרים של יחסי מין",</w:t>
      </w:r>
      <w:r>
        <w:rPr>
          <w:rFonts w:ascii="David" w:hAnsi="David"/>
          <w:rtl/>
        </w:rPr>
        <w:t xml:space="preserve"> היא בגדר מניפולציה לא לגיטימית כשמדובר במי שזומנה לעדות כעדה ובתחילת החקירה הובהר לה שהיא לא חשודה בדבר ואף היתה אפשרות מסתברת שהיא בגדר נפגעת של עבירת מין. </w:t>
      </w:r>
    </w:p>
    <w:p w:rsidR="00B01C7F" w:rsidRDefault="00B01C7F" w:rsidP="00B01C7F">
      <w:pPr>
        <w:spacing w:line="360" w:lineRule="auto"/>
        <w:ind w:left="357"/>
        <w:jc w:val="both"/>
        <w:rPr>
          <w:rFonts w:ascii="David" w:hAnsi="David"/>
          <w:rtl/>
        </w:rPr>
      </w:pPr>
      <w:r>
        <w:rPr>
          <w:rFonts w:ascii="David" w:hAnsi="David"/>
          <w:rtl/>
        </w:rPr>
        <w:t xml:space="preserve">יתרה מכך, בחינת החקירה בכללותה מעלה כי אמירה זו שלפיה שחם העיד כביכול על "מספר מקרים של יחסי מין", לא רק שלא קידמה קבלת גרסת אמת מפורטת מהתובעת אלא שהיה בה כדי לערער עוד יותר את בטחונה של התובעת שהיתה מודעת לשמועות לגבי יחסים בין שחם לשוטרות אחרות (דברי התובעת בעמ' 3 ועמ' 8 לתמליל), וממילא היתה מצויה בסיטואציה של חקירה רגישה ומביכה ביותר. השפעת אמירה לא נכונה זו על התובעת משתקפת בשאלותיה החוזרות ונשנות לחוקרים </w:t>
      </w:r>
      <w:r>
        <w:rPr>
          <w:rFonts w:ascii="David" w:hAnsi="David"/>
          <w:b/>
          <w:bCs/>
          <w:rtl/>
        </w:rPr>
        <w:t>"כאילו אתה אומר שהוא אמר גם כמה מקרים..."</w:t>
      </w:r>
      <w:r>
        <w:rPr>
          <w:rFonts w:ascii="David" w:hAnsi="David"/>
          <w:rtl/>
        </w:rPr>
        <w:t xml:space="preserve"> (עמ' 10-9, עמ' 13, עמ' 16, עמ' 20, עמ' 31-30 לתמליל).</w:t>
      </w:r>
    </w:p>
    <w:p w:rsidR="00B01C7F" w:rsidRDefault="00B01C7F" w:rsidP="00B01C7F">
      <w:pPr>
        <w:spacing w:line="360" w:lineRule="auto"/>
        <w:ind w:left="357"/>
        <w:jc w:val="both"/>
        <w:rPr>
          <w:rFonts w:ascii="David" w:hAnsi="David"/>
          <w:rtl/>
        </w:rPr>
      </w:pPr>
      <w:r>
        <w:rPr>
          <w:rFonts w:ascii="David" w:hAnsi="David"/>
          <w:rtl/>
        </w:rPr>
        <w:t xml:space="preserve">שלישית, גם לשיטת החוקרים, בשלבי החקירה הראשונים עמדה לנגד עיניהם האפשרות שמדובר בנחקרת שהיא נפגעת של עבירת מין, מה שמחייב זהירות ורגישות בגביית עדותה. מתשובותיה של התובעת ויותר מכך, משאלותיה לחוקרים, עולה תמונה של "שיח חרשים" שמתאפיין בחוסר תקשורת וחוסר הבנה שנראה כי מקורם הן באמירה הלא נכונה של החוקרים כי שחם סיפר כביכול על "כמה מפגשים של קיום יחסי מין", הן בפערים בתפיסה לגבי הגדרת המושג "יחסי מין". כשנאמר שוב לתובעת ששחם סיפר על "כמה מפגשים" של קיום "יחסי מין" היא מכחישה ש"שכבה" איתו, וכדבריה:" </w:t>
      </w:r>
      <w:r>
        <w:rPr>
          <w:rFonts w:ascii="David" w:hAnsi="David"/>
          <w:b/>
          <w:bCs/>
          <w:rtl/>
        </w:rPr>
        <w:t>...נראה לי מוזר שהוא יגיד דבר כזה, פייר אני אגיד לך, למה שיגיד ששכבתי איתו"</w:t>
      </w:r>
      <w:r>
        <w:rPr>
          <w:rFonts w:ascii="David" w:hAnsi="David"/>
          <w:rtl/>
        </w:rPr>
        <w:t xml:space="preserve"> (עמ' 9 לתמליל). בהמשך, בתשובה לאמירתו של החוקר איתן: </w:t>
      </w:r>
      <w:r>
        <w:rPr>
          <w:rFonts w:ascii="David" w:hAnsi="David"/>
          <w:b/>
          <w:bCs/>
          <w:rtl/>
        </w:rPr>
        <w:t xml:space="preserve">"האם קיימתם יחסי מין זה שאלה של כן ולא", </w:t>
      </w:r>
      <w:r>
        <w:rPr>
          <w:rFonts w:ascii="David" w:hAnsi="David"/>
          <w:rtl/>
        </w:rPr>
        <w:t>התובעת השיבה: "</w:t>
      </w:r>
      <w:r>
        <w:rPr>
          <w:rFonts w:ascii="David" w:hAnsi="David"/>
          <w:b/>
          <w:bCs/>
          <w:rtl/>
        </w:rPr>
        <w:t>יש פרשנות"</w:t>
      </w:r>
      <w:r>
        <w:rPr>
          <w:rFonts w:ascii="David" w:hAnsi="David"/>
          <w:rtl/>
        </w:rPr>
        <w:t xml:space="preserve"> (עמ' 10 לתמליל). במקום להבהיר לתובעת בצורה מכובדת ומכבדת שהיא מתבקשת לפרט כל סוג של קשר אינטימי או מיני שהיה בינה לבין שחם, החוקרים נוקטים בקו של שאלות בוטות ומשפילות. </w:t>
      </w:r>
    </w:p>
    <w:p w:rsidR="00B01C7F" w:rsidRDefault="00B01C7F" w:rsidP="00B01C7F">
      <w:pPr>
        <w:pStyle w:val="af0"/>
        <w:spacing w:line="360" w:lineRule="auto"/>
        <w:ind w:left="357"/>
        <w:jc w:val="both"/>
        <w:rPr>
          <w:rFonts w:ascii="David" w:hAnsi="David" w:cs="David"/>
          <w:sz w:val="24"/>
          <w:szCs w:val="24"/>
          <w:rtl/>
        </w:rPr>
      </w:pPr>
      <w:r>
        <w:rPr>
          <w:rFonts w:ascii="David" w:hAnsi="David" w:cs="David"/>
          <w:sz w:val="24"/>
          <w:szCs w:val="24"/>
          <w:rtl/>
        </w:rPr>
        <w:t>רביעית</w:t>
      </w:r>
      <w:r>
        <w:rPr>
          <w:rFonts w:ascii="David" w:hAnsi="David" w:cs="David"/>
          <w:b/>
          <w:bCs/>
          <w:sz w:val="24"/>
          <w:szCs w:val="24"/>
          <w:rtl/>
        </w:rPr>
        <w:t xml:space="preserve">, </w:t>
      </w:r>
      <w:r>
        <w:rPr>
          <w:rFonts w:ascii="David" w:hAnsi="David" w:cs="David"/>
          <w:sz w:val="24"/>
          <w:szCs w:val="24"/>
          <w:rtl/>
        </w:rPr>
        <w:t>וזה עיקר הדברים, התובעת הבהירה</w:t>
      </w:r>
      <w:r>
        <w:rPr>
          <w:rFonts w:ascii="David" w:hAnsi="David" w:cs="David"/>
          <w:b/>
          <w:bCs/>
          <w:sz w:val="24"/>
          <w:szCs w:val="24"/>
          <w:rtl/>
        </w:rPr>
        <w:t xml:space="preserve"> </w:t>
      </w:r>
      <w:r>
        <w:rPr>
          <w:rFonts w:ascii="David" w:hAnsi="David" w:cs="David"/>
          <w:sz w:val="24"/>
          <w:szCs w:val="24"/>
          <w:rtl/>
        </w:rPr>
        <w:t>בשלבים הראשונים של החקירה כי לא נעשה דבר בניגוד לרצונה, וכדבריה:"</w:t>
      </w:r>
      <w:r>
        <w:rPr>
          <w:rFonts w:ascii="David" w:hAnsi="David" w:cs="David"/>
          <w:b/>
          <w:bCs/>
          <w:sz w:val="24"/>
          <w:szCs w:val="24"/>
          <w:rtl/>
        </w:rPr>
        <w:t>...קשר חברי כן היה ביננו, יש לי כבוד, יש לי הערכה אליו...עם כל הכבוד, משהו בניגוד לרצוני, לא, הוא לא עשה משהו בניגוד לרצוני..."</w:t>
      </w:r>
      <w:r>
        <w:rPr>
          <w:rFonts w:ascii="David" w:hAnsi="David" w:cs="David"/>
          <w:sz w:val="24"/>
          <w:szCs w:val="24"/>
          <w:rtl/>
        </w:rPr>
        <w:t xml:space="preserve"> (עמ' 8 לתמליל, כן ראו עמ' 10 - 11 לתמליל). ובהמשך, במילים מפורשות: "</w:t>
      </w:r>
      <w:r>
        <w:rPr>
          <w:rFonts w:ascii="David" w:hAnsi="David" w:cs="David"/>
          <w:b/>
          <w:bCs/>
          <w:sz w:val="24"/>
          <w:szCs w:val="24"/>
          <w:rtl/>
        </w:rPr>
        <w:t>עם כל הכבוד הקשר הזה היה מבחינת קטע שלא היה משהו בכפיה ולא היה משהו שכאילו לא היה נעים..."</w:t>
      </w:r>
      <w:r>
        <w:rPr>
          <w:rFonts w:ascii="David" w:hAnsi="David" w:cs="David"/>
          <w:sz w:val="24"/>
          <w:szCs w:val="24"/>
          <w:rtl/>
        </w:rPr>
        <w:t xml:space="preserve"> (עמ' 16 לתמליל). בנסיבות אלה, לאחר שהתובעת הבהירה שלא נעשה דבר בניגוד לרצונה או שלא בהסכמתה, גם אם החוקרים סברו שיש מקום להוסיף ולברר את שאלת ההסכמה - והדבר לגיטימי ואף מתבקש בנסיבות החקירה - אין ולא היתה כל הצדקה לחקירה פולשנית, בוטה ומשפילה דוגמת זו שהתובעת עברה תוך ירידה לתיאורים פלסטיים ודרישה לפרט לפרטי פרטים את עוללות המעשה המיני.</w:t>
      </w:r>
    </w:p>
    <w:p w:rsidR="00074406" w:rsidRDefault="00074406" w:rsidP="00B01C7F">
      <w:pPr>
        <w:pStyle w:val="af0"/>
        <w:spacing w:line="360" w:lineRule="auto"/>
        <w:ind w:left="357"/>
        <w:jc w:val="both"/>
        <w:rPr>
          <w:rFonts w:ascii="David" w:hAnsi="David" w:cs="David"/>
          <w:sz w:val="24"/>
          <w:szCs w:val="24"/>
          <w:rtl/>
        </w:rPr>
      </w:pPr>
    </w:p>
    <w:p w:rsidR="00074406" w:rsidRDefault="00074406" w:rsidP="00B01C7F">
      <w:pPr>
        <w:pStyle w:val="af0"/>
        <w:spacing w:line="360" w:lineRule="auto"/>
        <w:ind w:left="357"/>
        <w:jc w:val="both"/>
        <w:rPr>
          <w:rFonts w:ascii="David" w:hAnsi="David" w:cs="David"/>
          <w:sz w:val="24"/>
          <w:szCs w:val="24"/>
          <w:rtl/>
        </w:rPr>
      </w:pPr>
    </w:p>
    <w:p w:rsidR="00074406" w:rsidRDefault="00074406" w:rsidP="00B01C7F">
      <w:pPr>
        <w:spacing w:line="360" w:lineRule="auto"/>
        <w:ind w:left="357"/>
        <w:rPr>
          <w:rFonts w:ascii="David" w:hAnsi="David"/>
          <w:b/>
          <w:bCs/>
          <w:rtl/>
        </w:rPr>
      </w:pPr>
    </w:p>
    <w:p w:rsidR="00B01C7F" w:rsidRDefault="00B01C7F" w:rsidP="00074406">
      <w:pPr>
        <w:spacing w:line="360" w:lineRule="auto"/>
        <w:ind w:left="357"/>
        <w:rPr>
          <w:rFonts w:ascii="David" w:hAnsi="David"/>
          <w:b/>
          <w:bCs/>
          <w:rtl/>
        </w:rPr>
      </w:pPr>
      <w:r>
        <w:rPr>
          <w:rFonts w:ascii="David" w:hAnsi="David"/>
          <w:b/>
          <w:bCs/>
          <w:rtl/>
        </w:rPr>
        <w:t>האם הופרו זכויותיה של התובעת על פי חוק זכויות נפגעי עבירה?</w:t>
      </w: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כאמור בתצהירי החוקרים, בתחילת החקירה החשד היה ששחם ביצע מגוון של עבירות פליליות אפשריות לרבות עבירות של מעשה מגונה, הטרדה מינית, ניצול יחסי מרות, שוחד מיני והפרת אמונים.</w:t>
      </w:r>
    </w:p>
    <w:p w:rsidR="00B01C7F" w:rsidRDefault="00B01C7F" w:rsidP="00B01C7F">
      <w:pPr>
        <w:spacing w:line="360" w:lineRule="auto"/>
        <w:ind w:left="357"/>
        <w:jc w:val="both"/>
        <w:rPr>
          <w:rFonts w:ascii="David" w:hAnsi="David"/>
          <w:rtl/>
        </w:rPr>
      </w:pPr>
      <w:r>
        <w:rPr>
          <w:rFonts w:ascii="David" w:hAnsi="David"/>
          <w:rtl/>
        </w:rPr>
        <w:t xml:space="preserve">החוקרת אירית ציינה כי שחם הודה בחקירתו בקשרים מיניים עם מספר שוטרות אך טען שכל הקשרים היו בהסכמה כך שבראשית החקירה, רב היה הנסתר על הגלוי והיה מקום לחקור ולברר </w:t>
      </w:r>
      <w:r>
        <w:rPr>
          <w:rFonts w:ascii="David" w:hAnsi="David"/>
          <w:b/>
          <w:bCs/>
          <w:rtl/>
        </w:rPr>
        <w:t>"האם בוצעו באותן נשים עבירות פליליות מסוג הטרדה מינית, מעשה מגונה וכו' או שמא מדובר היה בהסכמה. לא היה ברור מה היתה מידת ההסכמה והאם מדובר בעבירה של בעילה אסורה בהסכמה..."</w:t>
      </w:r>
      <w:r>
        <w:rPr>
          <w:rFonts w:ascii="David" w:hAnsi="David"/>
          <w:rtl/>
        </w:rPr>
        <w:t xml:space="preserve"> (סעיפים 8 - 9 בתצהיר כן ראו סעיף 17 בתצהירו של שחר חמדי סעיפים 11, 26 ו-46 בתצהירו של עו"ד יצחק וסעיף 9 בתצהיר איתן). </w:t>
      </w:r>
    </w:p>
    <w:p w:rsidR="00B01C7F" w:rsidRDefault="00B01C7F" w:rsidP="00074406">
      <w:pPr>
        <w:spacing w:after="160" w:line="360" w:lineRule="auto"/>
        <w:ind w:left="357"/>
        <w:jc w:val="both"/>
        <w:rPr>
          <w:rFonts w:ascii="David" w:hAnsi="David"/>
          <w:rtl/>
        </w:rPr>
      </w:pPr>
      <w:r>
        <w:rPr>
          <w:rFonts w:ascii="David" w:hAnsi="David"/>
          <w:rtl/>
        </w:rPr>
        <w:t xml:space="preserve">מכאן שאף לשיטת חוקרי מח"ש, בתחילת החקירה לא הייתה בפניהם תמונה ברורה של החשדות ולא היה ברור אם מדובר בעבירות מין שנעברו תוך ניצול יחסי מרות עם מי מהשוטרות שזומנו לחקירה עד כדי שלילת הסכמתן הנטענת. </w:t>
      </w:r>
    </w:p>
    <w:p w:rsidR="00B01C7F" w:rsidRDefault="00B01C7F" w:rsidP="00074406">
      <w:pPr>
        <w:pStyle w:val="af0"/>
        <w:spacing w:after="0" w:line="360" w:lineRule="auto"/>
        <w:ind w:left="357"/>
        <w:contextualSpacing w:val="0"/>
        <w:jc w:val="both"/>
        <w:rPr>
          <w:rFonts w:ascii="David" w:hAnsi="David" w:cs="David"/>
          <w:sz w:val="24"/>
          <w:szCs w:val="24"/>
          <w:rtl/>
        </w:rPr>
      </w:pPr>
    </w:p>
    <w:p w:rsidR="00B01C7F" w:rsidRDefault="00B01C7F" w:rsidP="00074406">
      <w:pPr>
        <w:pStyle w:val="af0"/>
        <w:numPr>
          <w:ilvl w:val="0"/>
          <w:numId w:val="1"/>
        </w:numPr>
        <w:spacing w:line="360" w:lineRule="auto"/>
        <w:ind w:left="357" w:hanging="357"/>
        <w:jc w:val="both"/>
        <w:rPr>
          <w:rFonts w:ascii="David" w:hAnsi="David" w:cs="David"/>
          <w:b/>
          <w:bCs/>
          <w:sz w:val="24"/>
          <w:szCs w:val="24"/>
          <w:rtl/>
        </w:rPr>
      </w:pPr>
      <w:r>
        <w:rPr>
          <w:rFonts w:ascii="David" w:hAnsi="David" w:cs="David"/>
          <w:sz w:val="24"/>
          <w:szCs w:val="24"/>
          <w:rtl/>
        </w:rPr>
        <w:t xml:space="preserve">סעיף 14 לחוק זכויות נפגעי עבירה, קובע: </w:t>
      </w:r>
      <w:r>
        <w:rPr>
          <w:rFonts w:ascii="David" w:hAnsi="David" w:cs="David"/>
          <w:b/>
          <w:bCs/>
          <w:sz w:val="24"/>
          <w:szCs w:val="24"/>
          <w:rtl/>
        </w:rPr>
        <w:t>"נפגע עבירת מין או אלימות זכאי שאדם המלווה אותו, לפי בחירתו, יהיה נוכח בעת חקירתו בגוף החוקר, אלא אם כן סבר הקצין הממונה, כי יש בכך כדי לפגוע בחקירה".</w:t>
      </w:r>
    </w:p>
    <w:p w:rsidR="00B01C7F" w:rsidRDefault="00B01C7F" w:rsidP="00B01C7F">
      <w:pPr>
        <w:spacing w:line="360" w:lineRule="auto"/>
        <w:ind w:left="357"/>
        <w:jc w:val="both"/>
        <w:rPr>
          <w:rFonts w:ascii="David" w:hAnsi="David"/>
          <w:rtl/>
        </w:rPr>
      </w:pPr>
      <w:r>
        <w:rPr>
          <w:rFonts w:ascii="David" w:hAnsi="David"/>
          <w:rtl/>
        </w:rPr>
        <w:t>חרף העובדה שהאפשרות שהתובעת היא נפגעת עבירת מין עמדה לנגד עיני החוקרים ומטרת החקירה היתה לברר אם בוצעה עבירה כך שהתובעת נשאלה שאלות בנוגע לפרטי הקשר המיני, לא נאמר לה בשלב כלשהו של החקירה שהיא זכאית לליווי של אדם אחר על פי בחירתה בעת החקירה.</w:t>
      </w:r>
    </w:p>
    <w:p w:rsidR="00B01C7F" w:rsidRDefault="00B01C7F" w:rsidP="00B01C7F">
      <w:pPr>
        <w:spacing w:line="360" w:lineRule="auto"/>
        <w:ind w:left="357"/>
        <w:jc w:val="both"/>
        <w:rPr>
          <w:rFonts w:ascii="David" w:hAnsi="David"/>
          <w:rtl/>
        </w:rPr>
      </w:pPr>
      <w:r>
        <w:rPr>
          <w:rFonts w:ascii="David" w:hAnsi="David"/>
          <w:rtl/>
        </w:rPr>
        <w:t xml:space="preserve">אין בידי לקבל את טענת הנתבעת כי סעיף 14 לחוק זכויות נפגעי עבירה אינו מחייב יידוע על הזכות להיות מלווה בחקירה. מרגע שהתובעת נחקרה כנפגעת עבירת מין פוטנציאלית ואף נשאלה שאלות חודרניות שלשיטת חוקרי מח"ש נדרשו כדי לברר את מידת הסכמתה לקשר המיני, היה מקום לידע אותה על זכותה להיות מלווה בחקירה על ידי אדם אחר לפי בחירתה. קבלת הטענה כי אין חובה לידע נחקר על הזכות ללווי בחקירה תרוקן מתוכן את התכלית שעומדת ביסוד סעיף 14 לחוק זכויות נפגעי עבירה שכן סביר שמרבית הנחקרים שהם נפגעים פוטנציאליים של עבירות מין, אינם מודעים לזכויות שמוקנות להם מכוח החוק האמור. </w:t>
      </w:r>
    </w:p>
    <w:p w:rsidR="00B01C7F" w:rsidRDefault="00B01C7F" w:rsidP="00B01C7F">
      <w:pPr>
        <w:spacing w:line="360" w:lineRule="auto"/>
        <w:ind w:left="357"/>
        <w:jc w:val="both"/>
        <w:rPr>
          <w:rFonts w:ascii="David" w:hAnsi="David"/>
          <w:rtl/>
        </w:rPr>
      </w:pPr>
      <w:r>
        <w:rPr>
          <w:rFonts w:ascii="David" w:hAnsi="David"/>
          <w:rtl/>
        </w:rPr>
        <w:t xml:space="preserve">גם הטענה כי הזכות לליווי בחקירה מסויגת ונתונה לשיקול דעתו של מנהל החקירה, אינה יכולה לעמוד לנתבעת שכן לא הוכח שהקצין הממונה על החקירה שקל את הדברים בזמן אמת וסבר שאין מקום לאפשר לתובעת להיות מלווה על ידי אדם אחר מטעמים של פגיעה בחקירה.   </w:t>
      </w:r>
    </w:p>
    <w:p w:rsidR="00B01C7F" w:rsidRDefault="00B01C7F" w:rsidP="00B01C7F">
      <w:pPr>
        <w:spacing w:line="360" w:lineRule="auto"/>
        <w:ind w:left="357"/>
        <w:jc w:val="both"/>
        <w:rPr>
          <w:rFonts w:ascii="David" w:hAnsi="David"/>
          <w:rtl/>
        </w:rPr>
      </w:pPr>
      <w:r>
        <w:rPr>
          <w:rFonts w:ascii="David" w:hAnsi="David"/>
          <w:rtl/>
        </w:rPr>
        <w:lastRenderedPageBreak/>
        <w:t xml:space="preserve">כך גם לא ראיתי לקבל את הטענה כי סביר היה להניח שהתובעת ששרתה בתפקיד של חוקרת וניהלה בעצמה חקירות בעבירות מין, היתה מודעת לזכויות הנתונות לנפגעי עבירת מין והיא לא ביקשה ליווי של אדם אחר בחקירה. דומה כי לא יכולה להיות מחלוקת שהסיטואציה של חקירה ומסירת עדות בנוגע לחשדות המדוברים, היא סיטואציה מלחיצה ומביכה ביותר, גם ואולי אף ביתר שאת, לתובעת שהיא שוטרת בעצמה שנחקרת בנושאים אינטימיים על ידי חוקרי מח"ש וביניהם חוקר שהיתה לה איתו היכרות מוקדמת (סעיף 4 לתצהיר התובעת). </w:t>
      </w:r>
    </w:p>
    <w:p w:rsidR="00B01C7F" w:rsidRDefault="00B01C7F" w:rsidP="00074406">
      <w:pPr>
        <w:spacing w:after="160" w:line="360" w:lineRule="auto"/>
        <w:ind w:left="357"/>
        <w:contextualSpacing/>
        <w:jc w:val="both"/>
        <w:rPr>
          <w:rFonts w:ascii="David" w:hAnsi="David"/>
          <w:rtl/>
        </w:rPr>
      </w:pPr>
      <w:r>
        <w:rPr>
          <w:rFonts w:ascii="David" w:hAnsi="David"/>
          <w:rtl/>
        </w:rPr>
        <w:t xml:space="preserve">עוד יש לזכור בהקשר זה כי התובעת לא יודעה מראש על נושא החקירה והדבר הסתבר לה רק עם הגעתה למשרדי מח"ש. בנסיבות אלה, ידיעתה האישית של התובעת לגבי זכויות של נפגעי עבירת מין, אינה פוטרת מהחובה ליידע אותה על זכויותיה שעה שהיא עצמה נחקרת כנפגעת פוטנציאלית של עבירת מין שכן הלחץ והחרדה שכרוכים בסיטואציה של חקירה בחשד לביצוע עבירת מין כלפי הנחקרת, עלולים לגרום לכך שגם מי שאמורה להיות מודעת לזכויותיה, לא תעמוד על קיומן. </w:t>
      </w:r>
    </w:p>
    <w:p w:rsidR="00B01C7F" w:rsidRDefault="00B01C7F" w:rsidP="00074406">
      <w:pPr>
        <w:pStyle w:val="af0"/>
        <w:spacing w:after="0" w:line="360" w:lineRule="auto"/>
        <w:ind w:left="357"/>
        <w:contextualSpacing w:val="0"/>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זאת ועוד, התובעת לא ראתה את עצמה כנפגעת עבירת מין שהרי לשיטתה הקשר המיני שהיה בינה לבין שחם, היה קשר מוסכם. החוקרים, לא קיבלו את גרסתה של התובעת כפשוטה, וסברו, ובצדק, שיש לבחון את שאלת ההסכמה כדי לברר אם לא מדובר בניצול יחסי מרות או יחסי כפיפות. אלא שאז היה על החוקרים ליידע את התובעת שנחקרה כעדה בשל חשד שבוצעה כלפיה עבירת מין כי עומדת לה הזכות להיות מלווה בחקירה על ידי אדם אחר לפי בחירתה. </w:t>
      </w:r>
    </w:p>
    <w:p w:rsidR="00B01C7F" w:rsidRDefault="00B01C7F" w:rsidP="00B01C7F">
      <w:pPr>
        <w:spacing w:line="360" w:lineRule="auto"/>
        <w:ind w:left="357"/>
        <w:jc w:val="both"/>
        <w:rPr>
          <w:rFonts w:ascii="David" w:hAnsi="David"/>
          <w:rtl/>
        </w:rPr>
      </w:pPr>
      <w:r>
        <w:rPr>
          <w:rFonts w:ascii="David" w:hAnsi="David"/>
          <w:rtl/>
        </w:rPr>
        <w:t xml:space="preserve">ויודגש, העובדה שהתובעת לא ראתה את עצמה כנפגעת עבירת מין, אינה פוטרת מכיבוד זכויותיה על פי חוק זכויות נפגעי עבירה. הדברים צריכים להיבחן על פי החשד שנחקר בזמן אמת ולא על פי עמדתה הסובייקטיבית של הנחקרת או לפי מה שהסתבר בדיעבד, שהרי גם לשיטת הנתבעת, קיימת אפשרות שנפגע של עבירת מין יכחיש בתחילה שבוצעה נגדו עבירת מין ומטרת החקירה היא לאשש או להפריך את החשד. עו"ד יצחק נשאל בעדותו בהקשר זה, והשיב: </w:t>
      </w:r>
      <w:r>
        <w:rPr>
          <w:rFonts w:ascii="David" w:hAnsi="David"/>
          <w:b/>
          <w:bCs/>
          <w:rtl/>
        </w:rPr>
        <w:t>"...היא אומרת שהיא לא קורבן לעבירת מין, זה נכון שמתחילים לחקור לא יודעים לאן, מה ילד יום. האם מדובר באופציה הראשונה בעבירות חמורות כמו למשל אונס, בעילה אסורה בהסכמה, מעשה סדום, מעשה מגונה או שבכלל אנחנו בעבירות של שוחד והפרת אמונים..."</w:t>
      </w:r>
      <w:r>
        <w:rPr>
          <w:rFonts w:ascii="David" w:hAnsi="David"/>
          <w:rtl/>
        </w:rPr>
        <w:t xml:space="preserve"> (עמ' 121 לפרוטוקול). </w:t>
      </w:r>
    </w:p>
    <w:p w:rsidR="00B01C7F" w:rsidRDefault="00B01C7F" w:rsidP="00074406">
      <w:pPr>
        <w:spacing w:after="160" w:line="360" w:lineRule="auto"/>
        <w:ind w:left="357"/>
        <w:jc w:val="both"/>
        <w:rPr>
          <w:rFonts w:ascii="David" w:hAnsi="David"/>
          <w:rtl/>
        </w:rPr>
      </w:pPr>
      <w:r>
        <w:rPr>
          <w:rFonts w:ascii="David" w:hAnsi="David"/>
          <w:rtl/>
        </w:rPr>
        <w:t>בנסיבות אלה, משהתובעת נחקרה לבירור חשד שבוצעה כלפיה עבירת מין ונוכח מהות החקירה שכללה שאלות אינטימיות, היה מקום לאפשר לה למצות את זכותה כנפגעת פוטנציאלית של עבירת מין להיות מלווה בחקירה, זאת אלא אם הקצין הממונה ששקל את הדברים בזמן אמת, היה סבור שיש בכך כדי לפגוע בחקירה - מה שלא נעשה בענייננו.</w:t>
      </w:r>
    </w:p>
    <w:p w:rsidR="00074406" w:rsidRDefault="00074406" w:rsidP="00074406">
      <w:pPr>
        <w:spacing w:after="160" w:line="360" w:lineRule="auto"/>
        <w:ind w:left="357"/>
        <w:jc w:val="both"/>
        <w:rPr>
          <w:rFonts w:ascii="David" w:hAnsi="David"/>
          <w:rtl/>
        </w:rPr>
      </w:pPr>
    </w:p>
    <w:p w:rsidR="00074406" w:rsidRDefault="00074406" w:rsidP="00074406">
      <w:pPr>
        <w:spacing w:after="160" w:line="360" w:lineRule="auto"/>
        <w:ind w:left="357"/>
        <w:jc w:val="both"/>
        <w:rPr>
          <w:rFonts w:ascii="David" w:hAnsi="David"/>
          <w:rtl/>
        </w:rPr>
      </w:pPr>
    </w:p>
    <w:p w:rsidR="00074406" w:rsidRDefault="00074406" w:rsidP="00074406">
      <w:pPr>
        <w:spacing w:line="360" w:lineRule="auto"/>
        <w:ind w:left="357"/>
        <w:jc w:val="both"/>
        <w:rPr>
          <w:rFonts w:ascii="David" w:hAnsi="David"/>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אשר לבחירת מין החוקר - הנתבעת התייחסה בסיכומיה לזכות המוקנית לנפגע עבירת מין מכוח סעיף 14 א' לחוק זכויות נפגעי עבירה לבחור את מין החוקר וציינה כי מדובר בתיקון לחוק משנת 2014, דהיינו לאחר מועד החקירה נושא התביעה. הנתבעת הוסיפה והדגישה כי במהלך חקירתה של כל אחת מהתובעות, הוצע להן שלא להיחקר על ידי חוקר - גבר, ואולם התובעות דחו הצעה זו. </w:t>
      </w:r>
    </w:p>
    <w:p w:rsidR="00B01C7F" w:rsidRDefault="00B01C7F" w:rsidP="00B01C7F">
      <w:pPr>
        <w:pStyle w:val="af0"/>
        <w:spacing w:line="360" w:lineRule="auto"/>
        <w:ind w:left="357"/>
        <w:jc w:val="both"/>
        <w:rPr>
          <w:rFonts w:ascii="David" w:hAnsi="David" w:cs="David"/>
          <w:sz w:val="24"/>
          <w:szCs w:val="24"/>
        </w:rPr>
      </w:pPr>
      <w:r>
        <w:rPr>
          <w:rFonts w:ascii="David" w:hAnsi="David" w:cs="David"/>
          <w:sz w:val="24"/>
          <w:szCs w:val="24"/>
          <w:rtl/>
        </w:rPr>
        <w:t xml:space="preserve">התובעת טענה אמנם בתצהיר העדות הראשית להפרת הזכות לבחור את מין החוקר, עם זאת, משטענה זו לא נטענה בסיכומים, יש לראותה כטענה שנזנחה (ע"א 8168/03 </w:t>
      </w:r>
      <w:r>
        <w:rPr>
          <w:rFonts w:ascii="David" w:hAnsi="David" w:cs="David"/>
          <w:b/>
          <w:bCs/>
          <w:sz w:val="24"/>
          <w:szCs w:val="24"/>
          <w:rtl/>
        </w:rPr>
        <w:t>ארנון נ' חשמל זועבי בע"מ</w:t>
      </w:r>
      <w:r>
        <w:rPr>
          <w:rFonts w:ascii="David" w:hAnsi="David" w:cs="David"/>
          <w:sz w:val="24"/>
          <w:szCs w:val="24"/>
          <w:rtl/>
        </w:rPr>
        <w:t xml:space="preserve"> (8.11.2009); ע"א 447/92 </w:t>
      </w:r>
      <w:r>
        <w:rPr>
          <w:rFonts w:ascii="David" w:hAnsi="David" w:cs="David"/>
          <w:b/>
          <w:bCs/>
          <w:sz w:val="24"/>
          <w:szCs w:val="24"/>
          <w:rtl/>
        </w:rPr>
        <w:t>רוט נ'</w:t>
      </w:r>
      <w:r>
        <w:rPr>
          <w:rFonts w:ascii="David" w:hAnsi="David" w:cs="David"/>
          <w:sz w:val="24"/>
          <w:szCs w:val="24"/>
          <w:rtl/>
        </w:rPr>
        <w:t xml:space="preserve"> </w:t>
      </w:r>
      <w:r>
        <w:rPr>
          <w:rFonts w:ascii="David" w:hAnsi="David" w:cs="David"/>
          <w:b/>
          <w:bCs/>
          <w:sz w:val="24"/>
          <w:szCs w:val="24"/>
          <w:rtl/>
        </w:rPr>
        <w:t>אינטרקונטיננטל קרדיט קורפריישן</w:t>
      </w:r>
      <w:r>
        <w:rPr>
          <w:rFonts w:ascii="David" w:hAnsi="David" w:cs="David"/>
          <w:sz w:val="24"/>
          <w:szCs w:val="24"/>
          <w:rtl/>
        </w:rPr>
        <w:t>, פ"ד מט(2) 102 (1995)), מה גם שבענייננו, אכן הוצע לתובעת שלא להיחקר על ידי חוקר - גבר.</w:t>
      </w:r>
    </w:p>
    <w:p w:rsidR="00B01C7F" w:rsidRDefault="00B01C7F" w:rsidP="00B01C7F">
      <w:pPr>
        <w:pStyle w:val="af0"/>
        <w:spacing w:line="360" w:lineRule="auto"/>
        <w:ind w:left="357"/>
        <w:jc w:val="both"/>
        <w:rPr>
          <w:rFonts w:ascii="David" w:hAnsi="David" w:cs="David"/>
          <w:sz w:val="24"/>
          <w:szCs w:val="24"/>
        </w:rPr>
      </w:pPr>
    </w:p>
    <w:p w:rsidR="00B01C7F" w:rsidRDefault="00B01C7F" w:rsidP="00B01C7F">
      <w:pPr>
        <w:spacing w:line="360" w:lineRule="auto"/>
        <w:ind w:left="357"/>
        <w:jc w:val="both"/>
        <w:rPr>
          <w:rFonts w:ascii="David" w:hAnsi="David"/>
          <w:b/>
          <w:bCs/>
          <w:rtl/>
        </w:rPr>
      </w:pPr>
      <w:r>
        <w:rPr>
          <w:rFonts w:ascii="David" w:hAnsi="David"/>
          <w:b/>
          <w:bCs/>
          <w:rtl/>
        </w:rPr>
        <w:t xml:space="preserve">חקירת התובעת 1 - סיכום ומסקנות </w:t>
      </w: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הנתבעת מודה בסיכומיה כי יתכן ש"</w:t>
      </w:r>
      <w:r>
        <w:rPr>
          <w:rFonts w:ascii="David" w:hAnsi="David" w:cs="David"/>
          <w:b/>
          <w:bCs/>
          <w:sz w:val="24"/>
          <w:szCs w:val="24"/>
          <w:rtl/>
        </w:rPr>
        <w:t>במבט לאחור ניתן לסבור כי היתה שאלה או שתיים מיותרות או שניתן היה לשאול אחרת"</w:t>
      </w:r>
      <w:r>
        <w:rPr>
          <w:rFonts w:ascii="David" w:hAnsi="David" w:cs="David"/>
          <w:sz w:val="24"/>
          <w:szCs w:val="24"/>
          <w:rtl/>
        </w:rPr>
        <w:t xml:space="preserve"> (ראו גם סעיף 51 בתצהירו של עו"ד יצחק) - אכן כך הוא, אלא שמדובר ביותר משאלה או שתיים מיותרות. </w:t>
      </w:r>
    </w:p>
    <w:p w:rsidR="00B01C7F" w:rsidRDefault="00B01C7F" w:rsidP="00074406">
      <w:pPr>
        <w:pStyle w:val="af0"/>
        <w:spacing w:after="0" w:line="360" w:lineRule="auto"/>
        <w:ind w:left="357"/>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כאמור, אין מחלוקת שהיה אינטרס ציבורי מובהק בקיומה של החקירה ובמיצויה עד תום. </w:t>
      </w:r>
    </w:p>
    <w:p w:rsidR="00B01C7F" w:rsidRDefault="00B01C7F" w:rsidP="00B01C7F">
      <w:pPr>
        <w:pStyle w:val="af0"/>
        <w:spacing w:line="360" w:lineRule="auto"/>
        <w:ind w:left="357"/>
        <w:jc w:val="both"/>
        <w:rPr>
          <w:rFonts w:ascii="David" w:hAnsi="David" w:cs="David"/>
          <w:sz w:val="24"/>
          <w:szCs w:val="24"/>
        </w:rPr>
      </w:pPr>
      <w:r>
        <w:rPr>
          <w:rFonts w:ascii="David" w:hAnsi="David" w:cs="David"/>
          <w:sz w:val="24"/>
          <w:szCs w:val="24"/>
          <w:rtl/>
        </w:rPr>
        <w:t xml:space="preserve">עם זאת, גם בנסיבות שבהן התובעת לא שיתפה פעולה בחקירה וניסתה להגן על "הסוד" של עצם קיום היחסים האינטימיים, חשיבות החקירה והאינטרס הציבורי שבקיומה, לא מצדיקים שאלות בוטות ופולשניות מקום שגם לשיטת הנתבעת בתחילת החקירה היה חשד שהתובעת, היא נפגעת עבירת מין. בהמשך החקירה, לאחר שהתובעת הבהירה כי לא נעשה דבר בניגוד לרצונה, לא היה מקום לחקירה בוטה, פולשנית ומציצנית תוך ירידה לפרטי פרטים של המעשה המיני ושאלות דוגמת: </w:t>
      </w:r>
      <w:r>
        <w:rPr>
          <w:rFonts w:ascii="David" w:hAnsi="David" w:cs="David"/>
          <w:b/>
          <w:bCs/>
          <w:sz w:val="24"/>
          <w:szCs w:val="24"/>
          <w:rtl/>
        </w:rPr>
        <w:t>"את גמרת?"</w:t>
      </w:r>
      <w:r>
        <w:rPr>
          <w:rFonts w:ascii="David" w:hAnsi="David" w:cs="David"/>
          <w:sz w:val="24"/>
          <w:szCs w:val="24"/>
          <w:rtl/>
        </w:rPr>
        <w:t>...</w:t>
      </w:r>
      <w:r>
        <w:rPr>
          <w:rFonts w:ascii="David" w:hAnsi="David" w:cs="David"/>
          <w:b/>
          <w:bCs/>
          <w:sz w:val="24"/>
          <w:szCs w:val="24"/>
          <w:rtl/>
        </w:rPr>
        <w:t>"נגעת לו באיבר המין?"</w:t>
      </w:r>
      <w:r>
        <w:rPr>
          <w:rFonts w:ascii="David" w:hAnsi="David" w:cs="David"/>
          <w:sz w:val="24"/>
          <w:szCs w:val="24"/>
          <w:rtl/>
        </w:rPr>
        <w:t xml:space="preserve"> </w:t>
      </w:r>
      <w:r>
        <w:rPr>
          <w:rFonts w:ascii="David" w:hAnsi="David" w:cs="David"/>
          <w:b/>
          <w:bCs/>
          <w:sz w:val="24"/>
          <w:szCs w:val="24"/>
          <w:rtl/>
        </w:rPr>
        <w:t>"גם הוא גמר?"</w:t>
      </w:r>
      <w:r>
        <w:rPr>
          <w:rFonts w:ascii="David" w:hAnsi="David" w:cs="David"/>
          <w:sz w:val="24"/>
          <w:szCs w:val="24"/>
          <w:rtl/>
        </w:rPr>
        <w:t xml:space="preserve"> ... </w:t>
      </w:r>
      <w:r>
        <w:rPr>
          <w:rFonts w:ascii="David" w:hAnsi="David" w:cs="David"/>
          <w:b/>
          <w:bCs/>
          <w:sz w:val="24"/>
          <w:szCs w:val="24"/>
          <w:rtl/>
        </w:rPr>
        <w:t>"מה, ירדת לו בפה?"</w:t>
      </w:r>
      <w:r>
        <w:rPr>
          <w:rFonts w:ascii="David" w:hAnsi="David" w:cs="David"/>
          <w:sz w:val="24"/>
          <w:szCs w:val="24"/>
          <w:rtl/>
        </w:rPr>
        <w:t xml:space="preserve">... </w:t>
      </w:r>
      <w:r>
        <w:rPr>
          <w:rFonts w:ascii="David" w:hAnsi="David" w:cs="David"/>
          <w:b/>
          <w:bCs/>
          <w:sz w:val="24"/>
          <w:szCs w:val="24"/>
          <w:rtl/>
        </w:rPr>
        <w:t>"איך הוא ירד לך עם הלשון? לשון שלו?... איבר מין שלך?... רק נגעת בו עם היד?.. נגעת לו באיבר המין?... ומזה הוא גמר?... איך את יודעת שהוא גמר?.. אם היה טוב לא ביקשת עוד פעם..."</w:t>
      </w:r>
      <w:r>
        <w:rPr>
          <w:rFonts w:ascii="David" w:hAnsi="David" w:cs="David"/>
          <w:sz w:val="24"/>
          <w:szCs w:val="24"/>
          <w:rtl/>
        </w:rPr>
        <w:t xml:space="preserve"> ושאלות נוספות דוגמת אלה (ראו המפורט בסעיף 28 לעיל). גם אם החוקרים סברו שחרף דברי התובעת יש מקום להוסיף ולברר את שאלת ההסכמה, וכאמור, הדבר לגיטימי ואף נדרש בנסיבות החקירה, הרי שניתן וצריך היה לעשות זאת בצורה מכבדת ומכובדת.</w:t>
      </w:r>
    </w:p>
    <w:p w:rsidR="00B01C7F" w:rsidRDefault="00B01C7F" w:rsidP="00074406">
      <w:pPr>
        <w:pStyle w:val="af0"/>
        <w:spacing w:after="0" w:line="360" w:lineRule="auto"/>
        <w:ind w:left="357"/>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עו"ד יצחק ציין בתצהירו כי בעקבות פרשה זו הופקו לקחים </w:t>
      </w:r>
      <w:r>
        <w:rPr>
          <w:rFonts w:ascii="David" w:hAnsi="David" w:cs="David"/>
          <w:b/>
          <w:bCs/>
          <w:sz w:val="24"/>
          <w:szCs w:val="24"/>
          <w:rtl/>
        </w:rPr>
        <w:t xml:space="preserve">"ונערכו צעדים אופרטיביים לשם יצירת מעטפת תומכת לשוטרת הנקלעת למוקד ההליך החקירתי והמשפטי - בין כקורבן עבירה ישיר, ובין כקורבן עקיף של מעללי המפקד הבכיר שחטא - וזאת, בין היתר בדרך של העברת הכשרות בנושא לכלל מערך החקירות במחלקה וכן באמצעות יצירת שיתוף פעולה </w:t>
      </w:r>
      <w:r>
        <w:rPr>
          <w:rFonts w:ascii="David" w:hAnsi="David" w:cs="David"/>
          <w:b/>
          <w:bCs/>
          <w:sz w:val="24"/>
          <w:szCs w:val="24"/>
          <w:rtl/>
        </w:rPr>
        <w:lastRenderedPageBreak/>
        <w:t xml:space="preserve">אסטרטגי רב שנתי בין מח"ש לבין איגוד מרכזי הסיוע לנפגעי ונפגעות תקיפה מינית, המעניק בשנים האחרונות הכשרה ותמיכה שוטפת ואין בלתה לנפגעות עבירה המגיעות לפתחה של המחלקה." </w:t>
      </w:r>
      <w:r>
        <w:rPr>
          <w:rFonts w:ascii="David" w:hAnsi="David" w:cs="David"/>
          <w:sz w:val="24"/>
          <w:szCs w:val="24"/>
          <w:rtl/>
        </w:rPr>
        <w:t>(סעיף 52 לתצהיר). על כך - יש לברך.</w:t>
      </w:r>
    </w:p>
    <w:p w:rsidR="00B01C7F" w:rsidRDefault="00B01C7F" w:rsidP="00074406">
      <w:pPr>
        <w:pStyle w:val="af0"/>
        <w:spacing w:after="0" w:line="360" w:lineRule="auto"/>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b/>
          <w:bCs/>
          <w:sz w:val="24"/>
          <w:szCs w:val="24"/>
          <w:rtl/>
        </w:rPr>
      </w:pPr>
      <w:r>
        <w:rPr>
          <w:rFonts w:ascii="David" w:hAnsi="David" w:cs="David"/>
          <w:sz w:val="24"/>
          <w:szCs w:val="24"/>
          <w:rtl/>
        </w:rPr>
        <w:t>עוד ראיתי לציין כי בשנת 2016, הוצאה הנחיית פרקליט המדינה מספר 2.33 בעניין "</w:t>
      </w:r>
      <w:r>
        <w:rPr>
          <w:rFonts w:ascii="David" w:hAnsi="David" w:cs="David"/>
          <w:b/>
          <w:bCs/>
          <w:sz w:val="24"/>
          <w:szCs w:val="24"/>
          <w:rtl/>
        </w:rPr>
        <w:t>חקירה והעמדה לדין -בעבירות מין בהעדר שיתוף פעולה מצד נפגע העבירה"</w:t>
      </w:r>
      <w:r>
        <w:rPr>
          <w:rFonts w:ascii="David" w:hAnsi="David" w:cs="David"/>
          <w:sz w:val="24"/>
          <w:szCs w:val="24"/>
          <w:rtl/>
        </w:rPr>
        <w:t xml:space="preserve"> (להלן: </w:t>
      </w:r>
      <w:r>
        <w:rPr>
          <w:rFonts w:ascii="David" w:hAnsi="David" w:cs="David"/>
          <w:b/>
          <w:bCs/>
          <w:sz w:val="24"/>
          <w:szCs w:val="24"/>
          <w:rtl/>
        </w:rPr>
        <w:t>"הנחיית פרקליט המדינה"</w:t>
      </w:r>
      <w:r>
        <w:rPr>
          <w:rFonts w:ascii="David" w:hAnsi="David" w:cs="David"/>
          <w:sz w:val="24"/>
          <w:szCs w:val="24"/>
          <w:rtl/>
        </w:rPr>
        <w:t>). מטרת הנחיית פרקליט המדינה היא "</w:t>
      </w:r>
      <w:r>
        <w:rPr>
          <w:rFonts w:ascii="David" w:hAnsi="David" w:cs="David"/>
          <w:b/>
          <w:bCs/>
          <w:sz w:val="24"/>
          <w:szCs w:val="24"/>
          <w:rtl/>
        </w:rPr>
        <w:t xml:space="preserve">להתוות את מדיניות האכיפה בנוגע לחקירה והעמדה לדין בעבירות מין, בהעדר שיתוף פעולה מצד נפגע העבירה, תוך שימת דגש על הצורך בשמירת האוטונומיה של נפגע עבירת המין והתחשבות בכבודו וברצונו, וזאת לצד התחשבות בשיקולים נוספים המגנים על האינטרס הציבורי" </w:t>
      </w:r>
    </w:p>
    <w:p w:rsidR="00B01C7F" w:rsidRDefault="00B01C7F" w:rsidP="00B01C7F">
      <w:pPr>
        <w:spacing w:line="360" w:lineRule="auto"/>
        <w:ind w:left="357"/>
        <w:jc w:val="both"/>
        <w:rPr>
          <w:rFonts w:ascii="David" w:hAnsi="David"/>
          <w:rtl/>
        </w:rPr>
      </w:pPr>
      <w:r>
        <w:rPr>
          <w:rFonts w:ascii="David" w:hAnsi="David"/>
          <w:rtl/>
        </w:rPr>
        <w:t>בהנחיית פרקליט המדינה מודגשים הקשיים הייחודיים שכרוכים בהגשת תלונה או מסירת עדות של נפגע עבירת מין, קשיים שנובעים ממהות העבירה ומובילים לעיתים לכך שהנפגע מסרב לשתף פעולה עם החקירה. בין היתר נקבע בהנחיית פרקליט המדינה כי מקום בו הנפגע מסרב לשתף פעולה עם החקירה, החוקר יפעל לברר את מהות חששותיו</w:t>
      </w:r>
      <w:r>
        <w:rPr>
          <w:rFonts w:ascii="David" w:hAnsi="David"/>
          <w:b/>
          <w:bCs/>
          <w:rtl/>
        </w:rPr>
        <w:t xml:space="preserve"> "במידת הזהירות והרגישות המתבקשת בנסיבות העניין"</w:t>
      </w:r>
      <w:r>
        <w:rPr>
          <w:rFonts w:ascii="David" w:hAnsi="David"/>
          <w:rtl/>
        </w:rPr>
        <w:t>, ויבהיר לו את זכויותיו על פי חוק זכויות נפגעי עבירה</w:t>
      </w:r>
      <w:r>
        <w:rPr>
          <w:rFonts w:ascii="David" w:hAnsi="David"/>
          <w:b/>
          <w:bCs/>
          <w:rtl/>
        </w:rPr>
        <w:t xml:space="preserve">, </w:t>
      </w:r>
      <w:r>
        <w:rPr>
          <w:rFonts w:ascii="David" w:hAnsi="David"/>
          <w:rtl/>
        </w:rPr>
        <w:t>במטרה להנמיך את חששותיו</w:t>
      </w:r>
      <w:r>
        <w:rPr>
          <w:rFonts w:ascii="David" w:hAnsi="David"/>
          <w:b/>
          <w:bCs/>
          <w:rtl/>
        </w:rPr>
        <w:t xml:space="preserve">.  </w:t>
      </w:r>
    </w:p>
    <w:p w:rsidR="00B01C7F" w:rsidRDefault="00B01C7F" w:rsidP="00B01C7F">
      <w:pPr>
        <w:spacing w:line="360" w:lineRule="auto"/>
        <w:ind w:left="357"/>
        <w:jc w:val="both"/>
        <w:rPr>
          <w:rFonts w:ascii="David" w:hAnsi="David"/>
          <w:rtl/>
        </w:rPr>
      </w:pPr>
      <w:r>
        <w:rPr>
          <w:rFonts w:ascii="David" w:hAnsi="David"/>
          <w:rtl/>
        </w:rPr>
        <w:t>עוד נקבע בהנחיית פרקליט המדינה כי לא יופעל על נפגע עבירת מין לחץ שתכליתו להביאו לשתף פעולה בניגוד לרצונו לרבות איום מפורש או משתמע לפגיעה בו דוגמת חקירתו באזהרה וכדומה (סעיף 21 להנחיה).</w:t>
      </w:r>
    </w:p>
    <w:p w:rsidR="00B01C7F" w:rsidRDefault="00B01C7F" w:rsidP="00074406">
      <w:pPr>
        <w:spacing w:after="160" w:line="360" w:lineRule="auto"/>
        <w:ind w:left="357"/>
        <w:contextualSpacing/>
        <w:jc w:val="both"/>
        <w:rPr>
          <w:rFonts w:ascii="David" w:hAnsi="David"/>
          <w:b/>
          <w:bCs/>
          <w:rtl/>
        </w:rPr>
      </w:pPr>
      <w:r>
        <w:rPr>
          <w:rFonts w:ascii="David" w:hAnsi="David"/>
          <w:rtl/>
        </w:rPr>
        <w:t>במקרים שבהם עוצמת האינטרס הציבורי שבמיצוי החקירה, מצדיקה התגייסות מיוחדת של רשויות האכיפה לעידוד נפגע העבירה לתת עדות</w:t>
      </w:r>
      <w:r>
        <w:rPr>
          <w:rFonts w:ascii="David" w:hAnsi="David"/>
          <w:b/>
          <w:bCs/>
          <w:rtl/>
        </w:rPr>
        <w:t xml:space="preserve"> "ישתדלו גורמי החקירה... להביא את הנפגע להסכמה מודעת לשיתוף פעולה עם ההליך החקירתי... עם זאת, גם במקרים אלה אסור להפעיל לחץ, איומים, פיתוי או שכנוע בדרך של תחבולות ומניפולציות פסולות..." </w:t>
      </w:r>
      <w:r>
        <w:rPr>
          <w:rFonts w:ascii="David" w:hAnsi="David"/>
          <w:rtl/>
        </w:rPr>
        <w:t>(סעיף 22 להנחיה). מידת ההשתדלות לשכנע את הנפגע לשתף פעולה נגזרת ממספר גורמים וביניהם האינטרס הציבורי שבמיצוי החקירה, מעמדו הציבורי של החשוד או קיומם של יחסי מרות או כפיפות. עם זאת נקבע כי</w:t>
      </w:r>
      <w:r>
        <w:rPr>
          <w:rFonts w:ascii="David" w:hAnsi="David"/>
          <w:b/>
          <w:bCs/>
          <w:rtl/>
        </w:rPr>
        <w:t xml:space="preserve"> "במקרים בהם יימצא כי האינטרס הציבורי במיצוי החקירה הנו נכבד ומצריך השקעת מאמץ בעידוד הנפגע להתלונן, יתבצע מאמץ זה בזהירות וברגישות רבה, תוך התייחסות למצבו הנפשי והפיסי של הנפגע..." </w:t>
      </w:r>
      <w:r>
        <w:rPr>
          <w:rFonts w:ascii="David" w:hAnsi="David"/>
          <w:rtl/>
        </w:rPr>
        <w:t>(סעיף 29 להנחיית פרקליט המדינה).</w:t>
      </w:r>
    </w:p>
    <w:p w:rsidR="00B01C7F" w:rsidRDefault="00B01C7F" w:rsidP="00074406">
      <w:pPr>
        <w:spacing w:line="360" w:lineRule="auto"/>
        <w:jc w:val="both"/>
        <w:rPr>
          <w:rFonts w:ascii="David" w:hAnsi="David"/>
          <w:b/>
          <w:bCs/>
          <w:rtl/>
        </w:rPr>
      </w:pPr>
    </w:p>
    <w:p w:rsidR="00B01C7F" w:rsidRDefault="00B01C7F" w:rsidP="00074406">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אמנם הנחיית פרקליט המדינה הוצאה כמה שנים לאחר החקירה נושא התביעה, ואולם יש בכללים שהותוו בה כדי להצביע על סטנדרט ההתנהגות הראוי והמצופה מגורמי החקירה במקרים של חקירת נפגע עבירות מין שאינו משתף פעולה עם החקירה, זאת גם בנסיבות שבהן יש אינטרס ציבורי נכבד במיצוי החקירה.</w:t>
      </w:r>
    </w:p>
    <w:p w:rsidR="00B01C7F" w:rsidRDefault="00B01C7F" w:rsidP="00AA0DE4">
      <w:pPr>
        <w:spacing w:after="160" w:line="360" w:lineRule="auto"/>
        <w:ind w:left="357"/>
        <w:jc w:val="both"/>
        <w:rPr>
          <w:rFonts w:ascii="David" w:hAnsi="David"/>
          <w:b/>
          <w:bCs/>
          <w:rtl/>
        </w:rPr>
      </w:pPr>
      <w:r>
        <w:rPr>
          <w:rFonts w:ascii="David" w:hAnsi="David"/>
          <w:rtl/>
        </w:rPr>
        <w:lastRenderedPageBreak/>
        <w:t>כאמור, בענייננו, בתחילת החקירה עמדה לנגד עיני החוקרים האפשרות שהתובעת היא נפגעת עבירת מין. לפיכך מצופה היה שהחוקרים ינהגו עמה בזהירות הראויה תוך התייחסות למצבה הנפשי והפיסי</w:t>
      </w:r>
      <w:r>
        <w:rPr>
          <w:rFonts w:ascii="David" w:hAnsi="David"/>
          <w:b/>
          <w:bCs/>
          <w:rtl/>
        </w:rPr>
        <w:t xml:space="preserve"> </w:t>
      </w:r>
      <w:r>
        <w:rPr>
          <w:rFonts w:ascii="David" w:hAnsi="David"/>
          <w:rtl/>
        </w:rPr>
        <w:t xml:space="preserve">לרבות היותה בחודש השמיני להיריון, ויבהירו לה את זכותה על פי סעיף 14 לחוק זכויות נפגעי עבירה, להיות מלווה בחקירה על ידי אדם אחר לפי בחירתה זאת אלא אם הקצין הממונה על החקירה היה סבור שיש בכך כדי לפגוע בחקירה - מה שלא נעשה ולא נשקל בזמן אמת בעת חקירתה של התובעת.  </w:t>
      </w:r>
    </w:p>
    <w:p w:rsidR="00AA0DE4" w:rsidRDefault="00AA0DE4" w:rsidP="00AA0DE4">
      <w:pPr>
        <w:spacing w:line="360" w:lineRule="auto"/>
        <w:ind w:left="357"/>
        <w:jc w:val="both"/>
        <w:rPr>
          <w:rFonts w:ascii="David" w:hAnsi="David"/>
          <w:b/>
          <w:bCs/>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סיכומם של דברים - מדובר היה בחקירה שביסודה עמד אינטרס ציבורי חשוב, בין היתר, בהתחשב במעמדו הרם של שחם במשטרה והצורך לברר חשד לעבירות של פגיעה מינית, ניצול או יחסים אסורים בין מפקד בכיר לשוטרות זוטרות ממנו. </w:t>
      </w:r>
    </w:p>
    <w:p w:rsidR="00B01C7F" w:rsidRDefault="00B01C7F" w:rsidP="00B01C7F">
      <w:pPr>
        <w:pStyle w:val="af0"/>
        <w:spacing w:line="360" w:lineRule="auto"/>
        <w:ind w:left="357"/>
        <w:jc w:val="both"/>
        <w:rPr>
          <w:rFonts w:ascii="David" w:hAnsi="David" w:cs="David"/>
          <w:sz w:val="24"/>
          <w:szCs w:val="24"/>
        </w:rPr>
      </w:pPr>
      <w:r>
        <w:rPr>
          <w:rFonts w:ascii="David" w:hAnsi="David" w:cs="David"/>
          <w:sz w:val="24"/>
          <w:szCs w:val="24"/>
          <w:rtl/>
        </w:rPr>
        <w:t xml:space="preserve">התובעת לא שיתפה פעולה עם החקירה ובתחילתה אף ניסתה להכחיש ולהסתיר את הקשר המיני שהיה בינה לבין שחם, זאת בניגוד לחובתה לומר אמת בחקירה ולשתף פעולה עם חקירת מח"ש. התנהלותה זו של התובעת תרמה במידה רבה להארכת משך החקירה. </w:t>
      </w:r>
    </w:p>
    <w:p w:rsidR="00B01C7F" w:rsidRDefault="00B01C7F" w:rsidP="00B01C7F">
      <w:pPr>
        <w:pStyle w:val="af0"/>
        <w:spacing w:line="360" w:lineRule="auto"/>
        <w:ind w:left="357"/>
        <w:jc w:val="both"/>
        <w:rPr>
          <w:rFonts w:ascii="David" w:hAnsi="David" w:cs="David"/>
          <w:sz w:val="24"/>
          <w:szCs w:val="24"/>
        </w:rPr>
      </w:pPr>
      <w:r>
        <w:rPr>
          <w:rFonts w:ascii="David" w:hAnsi="David" w:cs="David"/>
          <w:sz w:val="24"/>
          <w:szCs w:val="24"/>
          <w:rtl/>
        </w:rPr>
        <w:t xml:space="preserve">בנסיבות אלה היה על החוקרים לאזן בין האינטרס הציבורי החשוב שעמד ביסוד החקירה והצורך בקבלת גרסת אמת מהתובעת לבין שמירה על זכויותיה וכבודה של התובעת שזומנה למסירת עדות. </w:t>
      </w:r>
    </w:p>
    <w:p w:rsidR="00B01C7F" w:rsidRDefault="00B01C7F" w:rsidP="00B01C7F">
      <w:pPr>
        <w:pStyle w:val="af0"/>
        <w:spacing w:line="360" w:lineRule="auto"/>
        <w:ind w:left="357"/>
        <w:jc w:val="both"/>
        <w:rPr>
          <w:rFonts w:ascii="David" w:hAnsi="David" w:cs="David"/>
          <w:sz w:val="24"/>
          <w:szCs w:val="24"/>
          <w:rtl/>
        </w:rPr>
      </w:pPr>
      <w:r>
        <w:rPr>
          <w:rFonts w:ascii="David" w:hAnsi="David" w:cs="David"/>
          <w:sz w:val="24"/>
          <w:szCs w:val="24"/>
          <w:rtl/>
        </w:rPr>
        <w:t xml:space="preserve">לאחר בחינת מהלך החקירה בכללותו, בהתחשב בנתונים שעמדו בפני החוקרים בזמן אמת, אני סבורה שהחקירה ברובה היתה מוצדקת ולגיטימית. עם זאת, לא היתה הצדקה לאותן שאלות  מציצניות ומשפילות לרבות ירידה לפרטי פרטים של המעשה המיני זאת לאחר שהתובעת הבהירה כי לא נעשה דבר בניגוד להסכמתה. שאלות אלה אינן מתיישבות עם סטנדרט הזהירות המצופה מהחוקרים ויש בהן משום פגיעה לא מידתית בכבודה של התובעת ובזכותה לפרטיות. מיצוי החקירה לרבות בירור שאלת ההסכמה, יכולים וצריכים היו להיעשות בצורה מכבדת, ללא הפעלת לחץ בדרך של שאלות בוטות ופוגעניות, איום במעבר לחקירה באזהרה (עמ' 23 בתמליל) או רמיזות בדבר סיכון מקום עבודתה של התובעת (עמ' 14-13 ו-23 בתמליל). </w:t>
      </w:r>
    </w:p>
    <w:p w:rsidR="00B01C7F" w:rsidRDefault="00B01C7F" w:rsidP="00AA0DE4">
      <w:pPr>
        <w:pStyle w:val="af0"/>
        <w:spacing w:after="0" w:line="360" w:lineRule="auto"/>
        <w:ind w:left="357"/>
        <w:contextualSpacing w:val="0"/>
        <w:jc w:val="both"/>
        <w:rPr>
          <w:rFonts w:ascii="David" w:hAnsi="David" w:cs="David"/>
          <w:sz w:val="24"/>
          <w:szCs w:val="24"/>
          <w:rtl/>
        </w:rPr>
      </w:pPr>
    </w:p>
    <w:p w:rsidR="00B01C7F" w:rsidRDefault="00B01C7F" w:rsidP="00B01C7F">
      <w:pPr>
        <w:spacing w:line="360" w:lineRule="auto"/>
        <w:ind w:firstLine="357"/>
        <w:rPr>
          <w:rFonts w:ascii="David" w:hAnsi="David"/>
          <w:b/>
          <w:bCs/>
          <w:rtl/>
        </w:rPr>
      </w:pPr>
      <w:r>
        <w:rPr>
          <w:rFonts w:ascii="David" w:hAnsi="David"/>
          <w:b/>
          <w:bCs/>
          <w:rtl/>
        </w:rPr>
        <w:t>חקירת התובעת 2</w:t>
      </w:r>
    </w:p>
    <w:p w:rsidR="00B01C7F" w:rsidRDefault="00B01C7F" w:rsidP="00B01C7F">
      <w:pPr>
        <w:pStyle w:val="af0"/>
        <w:numPr>
          <w:ilvl w:val="0"/>
          <w:numId w:val="1"/>
        </w:numPr>
        <w:spacing w:line="360" w:lineRule="auto"/>
        <w:ind w:left="357" w:hanging="357"/>
        <w:jc w:val="both"/>
        <w:rPr>
          <w:rFonts w:ascii="David" w:hAnsi="David" w:cs="David"/>
          <w:b/>
          <w:bCs/>
          <w:sz w:val="24"/>
          <w:szCs w:val="24"/>
          <w:rtl/>
        </w:rPr>
      </w:pPr>
      <w:r>
        <w:rPr>
          <w:rFonts w:ascii="David" w:hAnsi="David" w:cs="David"/>
          <w:sz w:val="24"/>
          <w:szCs w:val="24"/>
          <w:rtl/>
        </w:rPr>
        <w:t>התובעת 2 (להלן, בפרק זה: "</w:t>
      </w:r>
      <w:r>
        <w:rPr>
          <w:rFonts w:ascii="David" w:hAnsi="David" w:cs="David"/>
          <w:b/>
          <w:bCs/>
          <w:sz w:val="24"/>
          <w:szCs w:val="24"/>
          <w:rtl/>
        </w:rPr>
        <w:t>התובעת</w:t>
      </w:r>
      <w:r>
        <w:rPr>
          <w:rFonts w:ascii="David" w:hAnsi="David" w:cs="David"/>
          <w:sz w:val="24"/>
          <w:szCs w:val="24"/>
          <w:rtl/>
        </w:rPr>
        <w:t>"), קצינה שמשרתת כתובעת משטרתית, נחקרה במח"ש ביום 4.9.2021, על ידי החוקרים אירית, דרור תא שמע (להלן: "</w:t>
      </w:r>
      <w:r>
        <w:rPr>
          <w:rFonts w:ascii="David" w:hAnsi="David" w:cs="David"/>
          <w:b/>
          <w:bCs/>
          <w:sz w:val="24"/>
          <w:szCs w:val="24"/>
          <w:rtl/>
        </w:rPr>
        <w:t>דרור</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ושחר חמדי - הקצין הממונה על החקירה.</w:t>
      </w:r>
    </w:p>
    <w:p w:rsidR="00B01C7F" w:rsidRDefault="00B01C7F" w:rsidP="00B01C7F">
      <w:pPr>
        <w:spacing w:line="360" w:lineRule="auto"/>
        <w:ind w:left="357"/>
        <w:jc w:val="both"/>
        <w:rPr>
          <w:rFonts w:ascii="David" w:hAnsi="David"/>
          <w:rtl/>
        </w:rPr>
      </w:pPr>
      <w:r>
        <w:rPr>
          <w:rFonts w:ascii="David" w:hAnsi="David"/>
          <w:rtl/>
        </w:rPr>
        <w:t>בפתח החקירה נאמר לתובעת</w:t>
      </w:r>
      <w:r>
        <w:rPr>
          <w:rFonts w:ascii="David" w:hAnsi="David"/>
          <w:b/>
          <w:bCs/>
          <w:rtl/>
        </w:rPr>
        <w:t xml:space="preserve"> </w:t>
      </w:r>
      <w:r>
        <w:rPr>
          <w:rFonts w:ascii="David" w:hAnsi="David"/>
          <w:rtl/>
        </w:rPr>
        <w:t>שהיא זומנה לחקירה לגבי הקשר שלה עם שחם והובהר לה שהיא אינה חשודה בדבר.</w:t>
      </w:r>
      <w:r>
        <w:rPr>
          <w:rFonts w:ascii="David" w:hAnsi="David"/>
          <w:b/>
          <w:bCs/>
          <w:rtl/>
        </w:rPr>
        <w:t xml:space="preserve"> </w:t>
      </w:r>
    </w:p>
    <w:p w:rsidR="00B01C7F" w:rsidRDefault="00B01C7F" w:rsidP="00B01C7F">
      <w:pPr>
        <w:spacing w:line="360" w:lineRule="auto"/>
        <w:ind w:left="357"/>
        <w:jc w:val="both"/>
        <w:rPr>
          <w:rFonts w:ascii="David" w:hAnsi="David"/>
          <w:b/>
          <w:bCs/>
          <w:rtl/>
        </w:rPr>
      </w:pPr>
      <w:r>
        <w:rPr>
          <w:rFonts w:ascii="David" w:hAnsi="David"/>
          <w:rtl/>
        </w:rPr>
        <w:t xml:space="preserve">התובעת הגדירה את הקשר שהיה בינה לבין שחם כקשר של ידידות ומיד בתחילת החקירה אישרה שהיה גם קשר שכלל מגע אינטימי, שלדבריה היה </w:t>
      </w:r>
      <w:r>
        <w:rPr>
          <w:rFonts w:ascii="David" w:hAnsi="David"/>
          <w:b/>
          <w:bCs/>
          <w:rtl/>
        </w:rPr>
        <w:t xml:space="preserve">"בבית....אבל לא שהוא מפקד שלי דרך אגב" </w:t>
      </w:r>
      <w:r>
        <w:rPr>
          <w:rFonts w:ascii="David" w:hAnsi="David"/>
          <w:rtl/>
        </w:rPr>
        <w:t>(עמ' 20 לתמליל).</w:t>
      </w:r>
      <w:r>
        <w:rPr>
          <w:rFonts w:ascii="David" w:hAnsi="David"/>
          <w:b/>
          <w:bCs/>
          <w:rtl/>
        </w:rPr>
        <w:t xml:space="preserve"> </w:t>
      </w:r>
    </w:p>
    <w:p w:rsidR="00B01C7F" w:rsidRDefault="00B01C7F" w:rsidP="00B01C7F">
      <w:pPr>
        <w:spacing w:line="360" w:lineRule="auto"/>
        <w:ind w:left="357"/>
        <w:jc w:val="both"/>
        <w:rPr>
          <w:rFonts w:ascii="David" w:hAnsi="David"/>
          <w:rtl/>
        </w:rPr>
      </w:pPr>
      <w:r>
        <w:rPr>
          <w:rFonts w:ascii="David" w:hAnsi="David"/>
          <w:rtl/>
        </w:rPr>
        <w:lastRenderedPageBreak/>
        <w:t>התובעת הבהירה לחוקרים שהיא חוששת מאוד מהדלפת מידע מהחקירה</w:t>
      </w:r>
      <w:r>
        <w:rPr>
          <w:rFonts w:ascii="David" w:hAnsi="David"/>
          <w:b/>
          <w:bCs/>
          <w:rtl/>
        </w:rPr>
        <w:t xml:space="preserve"> </w:t>
      </w:r>
      <w:r>
        <w:rPr>
          <w:rFonts w:ascii="David" w:hAnsi="David"/>
          <w:rtl/>
        </w:rPr>
        <w:t>(עמ' 21 - 23). לאחר שהובטח לה על-ידי החוקרים ועל-ידי הממונה על החקירה שאין ולא תהינה הדלפות, התובעת העידה מיד בתחילת החקירה, באופן ברור ומפורש :</w:t>
      </w:r>
      <w:r>
        <w:rPr>
          <w:rFonts w:ascii="David" w:hAnsi="David"/>
          <w:b/>
          <w:bCs/>
          <w:rtl/>
        </w:rPr>
        <w:t xml:space="preserve"> "...אני אומרת לך בשיא הכנות שלי האיש הזה לא יכפה את עצמו על מישהי...האיש הזה לא כפה את עצמו בחיים עלי... עשיתי איתו את זה רק לפני כמה חודשים כי רציתי את זה, כי זה הבנ"א שאמרתי לעצמי אני רוצה לעשות את זה איתו , אני מתנצלת שאני מדברת בכזאת גסות...אבל זאת האמת...לא יכפה את עצמו על מישהי ...זה מה שאני חושבת"</w:t>
      </w:r>
      <w:r>
        <w:rPr>
          <w:rFonts w:ascii="David" w:hAnsi="David"/>
          <w:rtl/>
        </w:rPr>
        <w:t xml:space="preserve"> ( עמ' 26- 27 לתמליל). </w:t>
      </w:r>
    </w:p>
    <w:p w:rsidR="00AA0DE4" w:rsidRDefault="00AA0DE4" w:rsidP="00B01C7F">
      <w:pPr>
        <w:spacing w:line="360" w:lineRule="auto"/>
        <w:ind w:left="357"/>
        <w:jc w:val="both"/>
        <w:rPr>
          <w:rFonts w:ascii="David" w:hAnsi="David"/>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התובעת העידה כי במהלך השנים הקשר בינה לבין שחם היה ידידותי, והיא שיתפה אותו בבעיות אישיות שלה הן בעבודה הן בחיים הפרטיים. הקשר האינטימי החל בשנים האחרונות ובמיוחד בשנה האחרונה (עמ' 33 - 34 לתמליל). </w:t>
      </w:r>
    </w:p>
    <w:p w:rsidR="00B01C7F" w:rsidRDefault="00B01C7F" w:rsidP="00B01C7F">
      <w:pPr>
        <w:spacing w:line="360" w:lineRule="auto"/>
        <w:ind w:left="357"/>
        <w:jc w:val="both"/>
        <w:rPr>
          <w:rFonts w:ascii="David" w:hAnsi="David"/>
          <w:rtl/>
        </w:rPr>
      </w:pPr>
      <w:r>
        <w:rPr>
          <w:rFonts w:ascii="David" w:hAnsi="David"/>
          <w:rtl/>
        </w:rPr>
        <w:t>התובעת הוסיפה והעידה כי הקשר המיני התנהל אצלה בדירה. כשנשאלה של מי היתה היוזמה בתחילת הקשר המיני, השיבה "</w:t>
      </w:r>
      <w:r>
        <w:rPr>
          <w:rFonts w:ascii="David" w:hAnsi="David"/>
          <w:b/>
          <w:bCs/>
          <w:rtl/>
        </w:rPr>
        <w:t>אני חושבת ששלי</w:t>
      </w:r>
      <w:r>
        <w:rPr>
          <w:rFonts w:ascii="David" w:hAnsi="David"/>
          <w:rtl/>
        </w:rPr>
        <w:t>" (עמ' 35 לתמליל), ובהמשך : "</w:t>
      </w:r>
      <w:r>
        <w:rPr>
          <w:rFonts w:ascii="David" w:hAnsi="David"/>
          <w:b/>
          <w:bCs/>
          <w:rtl/>
        </w:rPr>
        <w:t>...אני שוכבת עם מי שאני רוצה ואני מחליטה אם אני רוצה לשכב עם מישהו, אף מפקד ואף בנ"א בעולם הזה לא יקבע אם ישכב איתי או לא...יש רצון של שני הצדדים"</w:t>
      </w:r>
      <w:r>
        <w:rPr>
          <w:rFonts w:ascii="David" w:hAnsi="David"/>
          <w:rtl/>
        </w:rPr>
        <w:t>. (עמ' 57 לתמליל).</w:t>
      </w:r>
    </w:p>
    <w:p w:rsidR="00B01C7F" w:rsidRDefault="00B01C7F" w:rsidP="00AA0DE4">
      <w:pPr>
        <w:spacing w:after="160" w:line="360" w:lineRule="auto"/>
        <w:ind w:left="357"/>
        <w:contextualSpacing/>
        <w:jc w:val="both"/>
        <w:rPr>
          <w:rFonts w:ascii="David" w:hAnsi="David"/>
          <w:rtl/>
        </w:rPr>
      </w:pPr>
      <w:r>
        <w:rPr>
          <w:rFonts w:ascii="David" w:hAnsi="David"/>
          <w:rtl/>
        </w:rPr>
        <w:t>התובעת התבקשה לשוב ולפרט איך התחיל הקשר המיני והשיבה: "</w:t>
      </w:r>
      <w:r>
        <w:rPr>
          <w:rFonts w:ascii="David" w:hAnsi="David"/>
          <w:b/>
          <w:bCs/>
          <w:rtl/>
        </w:rPr>
        <w:t>קודם כל גם אני רציתי את זה, אני חושבת שאני רציתי את זה, אני חושבת שאני חיזרתי גם אחריו"</w:t>
      </w:r>
      <w:r>
        <w:rPr>
          <w:rFonts w:ascii="David" w:hAnsi="David"/>
          <w:rtl/>
        </w:rPr>
        <w:t xml:space="preserve"> (עמ' 58 לתמליל).</w:t>
      </w:r>
    </w:p>
    <w:p w:rsidR="00B01C7F" w:rsidRDefault="00B01C7F" w:rsidP="00AA0DE4">
      <w:pPr>
        <w:pStyle w:val="af0"/>
        <w:spacing w:after="0" w:line="360" w:lineRule="auto"/>
        <w:ind w:left="357"/>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חרף דבריה המפורשים של התובעת כי הקשר המיני היה בהסכמתה, על-פי רצונה ואף ביוזמתה, החוקרים חוזרים ומבקשים מהתובעת לרדת לפרטים ולתיאורים פלסטיים של הקשר המיני. </w:t>
      </w:r>
    </w:p>
    <w:p w:rsidR="00B01C7F" w:rsidRDefault="00B01C7F" w:rsidP="00B01C7F">
      <w:pPr>
        <w:spacing w:line="360" w:lineRule="auto"/>
        <w:ind w:left="357"/>
        <w:jc w:val="both"/>
        <w:rPr>
          <w:rFonts w:ascii="David" w:hAnsi="David"/>
          <w:rtl/>
        </w:rPr>
      </w:pPr>
      <w:r>
        <w:rPr>
          <w:rFonts w:ascii="David" w:hAnsi="David"/>
          <w:rtl/>
        </w:rPr>
        <w:t>כשהתובעת אומרת: "</w:t>
      </w:r>
      <w:r>
        <w:rPr>
          <w:rFonts w:ascii="David" w:hAnsi="David"/>
          <w:b/>
          <w:bCs/>
          <w:rtl/>
        </w:rPr>
        <w:t>אני לא חושבת שאני אומרת לך שכבתי איתו...אני צריכה לפרט לך איך זה היה ואיך זה התחיל".</w:t>
      </w:r>
      <w:r>
        <w:rPr>
          <w:rFonts w:ascii="David" w:hAnsi="David"/>
          <w:rtl/>
        </w:rPr>
        <w:t xml:space="preserve"> החוקר דרור חוזר ומציע שהוא יצא מהחדר אם לא נוח לתובעת לדבר בנוכחותו ואומר</w:t>
      </w:r>
      <w:r>
        <w:rPr>
          <w:rFonts w:ascii="David" w:hAnsi="David"/>
          <w:b/>
          <w:bCs/>
          <w:rtl/>
        </w:rPr>
        <w:t>: "השאלות שלי הם לא חלילה ממציצנות... מחדירה לפרטיות.....החקירה כולה היא חקירה בנושא עבירות מיניות, אין דרך ליפות את הדברים, אין דרך לעדן אותם...אבל אין קיצורי דרך לענין הפרטים שלך הם נראים ...אולי לא נוח לדבר עליהם...ואני אומר לך למרות הרזולוציות הקטנות האלה לא יהיה מנוס מלהיכנס כי החקירה הזאתי...זה חקירה פלילית והדברים צריכים להיאמר עם כל הקושי..."</w:t>
      </w:r>
      <w:r>
        <w:rPr>
          <w:rFonts w:ascii="David" w:hAnsi="David"/>
          <w:rtl/>
        </w:rPr>
        <w:t xml:space="preserve"> (עמ' 58 לתמליל).</w:t>
      </w:r>
    </w:p>
    <w:p w:rsidR="00B01C7F" w:rsidRDefault="00B01C7F" w:rsidP="00B01C7F">
      <w:pPr>
        <w:spacing w:line="360" w:lineRule="auto"/>
        <w:ind w:left="357"/>
        <w:jc w:val="both"/>
        <w:rPr>
          <w:rFonts w:ascii="David" w:hAnsi="David"/>
          <w:b/>
          <w:bCs/>
          <w:rtl/>
        </w:rPr>
      </w:pPr>
      <w:r>
        <w:rPr>
          <w:rFonts w:ascii="David" w:hAnsi="David"/>
          <w:rtl/>
        </w:rPr>
        <w:t xml:space="preserve">התובעת אומרת : </w:t>
      </w:r>
      <w:r>
        <w:rPr>
          <w:rFonts w:ascii="David" w:hAnsi="David"/>
          <w:b/>
          <w:bCs/>
          <w:rtl/>
        </w:rPr>
        <w:t xml:space="preserve">"אני לא אכנס לזה איך הוא נישק אותי, איך אני נישקתי אותו"... </w:t>
      </w:r>
      <w:r>
        <w:rPr>
          <w:rFonts w:ascii="David" w:hAnsi="David"/>
          <w:rtl/>
        </w:rPr>
        <w:t>והחוקר דרור משיב לה</w:t>
      </w:r>
      <w:r>
        <w:rPr>
          <w:rFonts w:ascii="David" w:hAnsi="David"/>
          <w:b/>
          <w:bCs/>
          <w:rtl/>
        </w:rPr>
        <w:t>: "זה בדיוק הקטע... זה בדיוק הקטע שאת תיכנסי גם...זה בדיוק הנקודה שאת תצטרכי להיכנס אליה ...כי את כאשת משטרה מחויבת ..מחויבת לספר את האמת..."</w:t>
      </w:r>
      <w:r>
        <w:rPr>
          <w:rFonts w:ascii="David" w:hAnsi="David"/>
          <w:rtl/>
        </w:rPr>
        <w:t xml:space="preserve"> (עמ' 59 לתמליל)</w:t>
      </w:r>
      <w:r>
        <w:rPr>
          <w:rFonts w:ascii="David" w:hAnsi="David"/>
          <w:b/>
          <w:bCs/>
          <w:rtl/>
        </w:rPr>
        <w:t xml:space="preserve">. </w:t>
      </w:r>
    </w:p>
    <w:p w:rsidR="00AA0DE4" w:rsidRDefault="00AA0DE4" w:rsidP="00B01C7F">
      <w:pPr>
        <w:spacing w:line="360" w:lineRule="auto"/>
        <w:ind w:left="357"/>
        <w:jc w:val="both"/>
        <w:rPr>
          <w:rFonts w:ascii="David" w:hAnsi="David"/>
          <w:b/>
          <w:bCs/>
          <w:rtl/>
        </w:rPr>
      </w:pPr>
    </w:p>
    <w:p w:rsidR="00AA0DE4" w:rsidRDefault="00AA0DE4" w:rsidP="00B01C7F">
      <w:pPr>
        <w:spacing w:line="360" w:lineRule="auto"/>
        <w:ind w:left="357"/>
        <w:jc w:val="both"/>
        <w:rPr>
          <w:rFonts w:ascii="David" w:hAnsi="David"/>
          <w:b/>
          <w:bCs/>
          <w:rtl/>
        </w:rPr>
      </w:pPr>
    </w:p>
    <w:p w:rsidR="00AA0DE4" w:rsidRDefault="00AA0DE4" w:rsidP="00B01C7F">
      <w:pPr>
        <w:spacing w:line="360" w:lineRule="auto"/>
        <w:ind w:left="357"/>
        <w:jc w:val="both"/>
        <w:rPr>
          <w:rFonts w:ascii="David" w:hAnsi="David"/>
          <w:b/>
          <w:bCs/>
          <w:rtl/>
        </w:rPr>
      </w:pPr>
    </w:p>
    <w:p w:rsidR="00B01C7F" w:rsidRDefault="00B01C7F" w:rsidP="00AA0DE4">
      <w:pPr>
        <w:spacing w:after="160" w:line="360" w:lineRule="auto"/>
        <w:ind w:left="357"/>
        <w:contextualSpacing/>
        <w:jc w:val="both"/>
        <w:rPr>
          <w:rFonts w:ascii="David" w:hAnsi="David"/>
          <w:rtl/>
        </w:rPr>
      </w:pPr>
      <w:r>
        <w:rPr>
          <w:rFonts w:ascii="David" w:hAnsi="David"/>
          <w:rtl/>
        </w:rPr>
        <w:t>התובעת שואלת</w:t>
      </w:r>
      <w:r>
        <w:rPr>
          <w:rFonts w:ascii="David" w:hAnsi="David"/>
          <w:b/>
          <w:bCs/>
          <w:rtl/>
        </w:rPr>
        <w:t xml:space="preserve">: "אחרי שאני אומרת שהיה קשר מיני כאילו מה אני צריכה לפרט פה?... </w:t>
      </w:r>
      <w:r>
        <w:rPr>
          <w:rFonts w:ascii="David" w:hAnsi="David"/>
          <w:rtl/>
        </w:rPr>
        <w:t>והחוקר דרור משיב</w:t>
      </w:r>
      <w:r>
        <w:rPr>
          <w:rFonts w:ascii="David" w:hAnsi="David"/>
          <w:b/>
          <w:bCs/>
          <w:rtl/>
        </w:rPr>
        <w:t xml:space="preserve">: "את צריכה להבהיר מה זה..איך הקשר התחיל...מה זה קשר מיני... מה עשיתם כי אנחנו לא ילדים. אנחנו יודעים מה זה יחסי מין.... אני מבין שזה לא נעים גם אם אני היית יושב במקומך לא היה נעים אבל אין מה לעשות" </w:t>
      </w:r>
      <w:r>
        <w:rPr>
          <w:rFonts w:ascii="David" w:hAnsi="David"/>
          <w:rtl/>
        </w:rPr>
        <w:t xml:space="preserve">(עמ' 60 לתמליל). </w:t>
      </w:r>
    </w:p>
    <w:p w:rsidR="00B01C7F" w:rsidRDefault="00B01C7F" w:rsidP="00AA0DE4">
      <w:pPr>
        <w:pStyle w:val="af0"/>
        <w:spacing w:after="0" w:line="360" w:lineRule="auto"/>
        <w:ind w:left="357"/>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b/>
          <w:bCs/>
          <w:sz w:val="24"/>
          <w:szCs w:val="24"/>
          <w:rtl/>
        </w:rPr>
      </w:pPr>
      <w:r>
        <w:rPr>
          <w:rFonts w:ascii="David" w:hAnsi="David" w:cs="David"/>
          <w:sz w:val="24"/>
          <w:szCs w:val="24"/>
          <w:rtl/>
        </w:rPr>
        <w:t xml:space="preserve">וכך, התובעת שחוזרת ואומרת כי הקשר המיני היה בהסכמה, נשאלת שאלות רבות לגבי פרטי המעשים המיניים, דוגמת: </w:t>
      </w:r>
      <w:r>
        <w:rPr>
          <w:rFonts w:ascii="David" w:hAnsi="David" w:cs="David"/>
          <w:b/>
          <w:bCs/>
          <w:sz w:val="24"/>
          <w:szCs w:val="24"/>
          <w:rtl/>
        </w:rPr>
        <w:t>"נגיעות באיברים אינטימיים שלך? שלו?... נשיקות צרפתיות? נשיקות על הפה?"... "מין אוראלי היה כן או לא?... תשובה של כן ולא... היה מין אוראלי שלך בו או בו בך... אני אומר עוד הפעם אנחנו לא נוכל לברוח מהנושאים שהם הכי פרטיים שלך והם יישארו שלך גם אחרי החקירה אבל לא יהיה מנוס מלדבר עליהם, לא יהיה מנוס. אני מצטער כאילו אני מבין את הקושי שלך"..."הוא גמר?"... "נהנית מזה?" (</w:t>
      </w:r>
      <w:r>
        <w:rPr>
          <w:rFonts w:ascii="David" w:hAnsi="David" w:cs="David"/>
          <w:sz w:val="24"/>
          <w:szCs w:val="24"/>
          <w:rtl/>
        </w:rPr>
        <w:t xml:space="preserve">עמ' 61 - 62 לתמליל). </w:t>
      </w:r>
      <w:r>
        <w:rPr>
          <w:rFonts w:ascii="David" w:hAnsi="David" w:cs="David"/>
          <w:b/>
          <w:bCs/>
          <w:sz w:val="24"/>
          <w:szCs w:val="24"/>
          <w:rtl/>
        </w:rPr>
        <w:t xml:space="preserve">"המפגשים המיניים אצלך בדירה כללו מה?....האם היו מקרים בהם את קיימת מין אוראלי בניסו או ניסו בך?" </w:t>
      </w:r>
      <w:r>
        <w:rPr>
          <w:rFonts w:ascii="David" w:hAnsi="David" w:cs="David"/>
          <w:sz w:val="24"/>
          <w:szCs w:val="24"/>
          <w:rtl/>
        </w:rPr>
        <w:t>(עמ' 85 לתמליל).</w:t>
      </w:r>
      <w:r>
        <w:rPr>
          <w:rFonts w:ascii="David" w:hAnsi="David" w:cs="David"/>
          <w:b/>
          <w:bCs/>
          <w:sz w:val="24"/>
          <w:szCs w:val="24"/>
          <w:rtl/>
        </w:rPr>
        <w:t xml:space="preserve">  </w:t>
      </w:r>
    </w:p>
    <w:p w:rsidR="00B01C7F" w:rsidRDefault="00B01C7F" w:rsidP="00B01C7F">
      <w:pPr>
        <w:spacing w:line="360" w:lineRule="auto"/>
        <w:ind w:left="357"/>
        <w:jc w:val="both"/>
        <w:rPr>
          <w:rFonts w:ascii="David" w:hAnsi="David"/>
          <w:b/>
          <w:bCs/>
          <w:rtl/>
        </w:rPr>
      </w:pPr>
      <w:r>
        <w:rPr>
          <w:rFonts w:ascii="David" w:hAnsi="David"/>
          <w:rtl/>
        </w:rPr>
        <w:t>בהמשך התובעת נשאלה אם שחם השתמש באמצעי מניעה והאם היא לא חששה להיכנס להריון? והשיבה:</w:t>
      </w:r>
      <w:r>
        <w:rPr>
          <w:rFonts w:ascii="David" w:hAnsi="David"/>
          <w:b/>
          <w:bCs/>
          <w:rtl/>
        </w:rPr>
        <w:t xml:space="preserve"> "הלוואי, אם הייתי נכנסת להריון אז הייתי עושה ילד". </w:t>
      </w:r>
      <w:r>
        <w:rPr>
          <w:rFonts w:ascii="David" w:hAnsi="David"/>
          <w:rtl/>
        </w:rPr>
        <w:t>כשהחוקר שב ושואל על אמצעי מניעה היא מקשה ושואלת:</w:t>
      </w:r>
      <w:r>
        <w:rPr>
          <w:rFonts w:ascii="David" w:hAnsi="David"/>
          <w:b/>
          <w:bCs/>
          <w:rtl/>
        </w:rPr>
        <w:t xml:space="preserve"> "מה זה רלוונטי לחקירה הזאת?" </w:t>
      </w:r>
      <w:r>
        <w:rPr>
          <w:rFonts w:ascii="David" w:hAnsi="David"/>
          <w:rtl/>
        </w:rPr>
        <w:t>(עמ' 91 לתמליל).</w:t>
      </w:r>
      <w:r>
        <w:rPr>
          <w:rFonts w:ascii="David" w:hAnsi="David"/>
          <w:b/>
          <w:bCs/>
          <w:rtl/>
        </w:rPr>
        <w:t xml:space="preserve"> </w:t>
      </w:r>
    </w:p>
    <w:p w:rsidR="00B01C7F" w:rsidRDefault="00B01C7F" w:rsidP="00B01C7F">
      <w:pPr>
        <w:spacing w:line="360" w:lineRule="auto"/>
        <w:ind w:left="357"/>
        <w:jc w:val="both"/>
        <w:rPr>
          <w:rFonts w:ascii="David" w:hAnsi="David"/>
          <w:b/>
          <w:bCs/>
          <w:rtl/>
        </w:rPr>
      </w:pPr>
      <w:r>
        <w:rPr>
          <w:rFonts w:ascii="David" w:hAnsi="David"/>
          <w:rtl/>
        </w:rPr>
        <w:t>החוקר דרור הזהיר את התובעת כי היא "מרבה לא לזכור" וכי היא "על הגבול" של להפוך לחשודה ולכן "</w:t>
      </w:r>
      <w:r>
        <w:rPr>
          <w:rFonts w:ascii="David" w:hAnsi="David"/>
          <w:b/>
          <w:bCs/>
          <w:rtl/>
        </w:rPr>
        <w:t>...יש לך עכשיו אפשרות לספר את כל הדברים שבהם לא דייקת...</w:t>
      </w:r>
      <w:r>
        <w:rPr>
          <w:rFonts w:ascii="David" w:hAnsi="David"/>
          <w:rtl/>
        </w:rPr>
        <w:t>" (עמ' 101 לתמליל). גם שחר, הקצין הממונה על החקירה, נכנס לחדר ואמר לתובעת כי</w:t>
      </w:r>
      <w:r>
        <w:rPr>
          <w:rFonts w:ascii="David" w:hAnsi="David"/>
          <w:b/>
          <w:bCs/>
          <w:rtl/>
        </w:rPr>
        <w:t xml:space="preserve"> "אין שום הצדקה שהעדות תהפוך להיות עדות תחת אזהרה...". </w:t>
      </w:r>
      <w:r>
        <w:rPr>
          <w:rFonts w:ascii="David" w:hAnsi="David"/>
          <w:rtl/>
        </w:rPr>
        <w:t>התובעת השיבה כי הוא מוזמן לחקור אותה באזהרה</w:t>
      </w:r>
      <w:r>
        <w:rPr>
          <w:rFonts w:ascii="David" w:hAnsi="David"/>
          <w:b/>
          <w:bCs/>
          <w:rtl/>
        </w:rPr>
        <w:t xml:space="preserve"> </w:t>
      </w:r>
      <w:r>
        <w:rPr>
          <w:rFonts w:ascii="David" w:hAnsi="David"/>
          <w:rtl/>
        </w:rPr>
        <w:t>(עמ' 109 לתמליל).</w:t>
      </w:r>
      <w:r>
        <w:rPr>
          <w:rFonts w:ascii="David" w:hAnsi="David"/>
          <w:b/>
          <w:bCs/>
          <w:rtl/>
        </w:rPr>
        <w:t xml:space="preserve"> </w:t>
      </w:r>
    </w:p>
    <w:p w:rsidR="00B01C7F" w:rsidRDefault="00B01C7F" w:rsidP="00AA0DE4">
      <w:pPr>
        <w:spacing w:after="160" w:line="360" w:lineRule="auto"/>
        <w:ind w:left="357"/>
        <w:contextualSpacing/>
        <w:jc w:val="both"/>
        <w:rPr>
          <w:rFonts w:ascii="David" w:hAnsi="David"/>
          <w:b/>
          <w:bCs/>
          <w:rtl/>
        </w:rPr>
      </w:pPr>
      <w:r>
        <w:rPr>
          <w:rFonts w:ascii="David" w:hAnsi="David"/>
          <w:rtl/>
        </w:rPr>
        <w:t>בהמשך הדברים, התובעת שבה ונשאלת הן לגבי המועדים שבהם התקיים קשר אינטימי בינה לבין שחם הן לפרטי הקשר האינטימי, לרבות שאלות דוגמת אלה:</w:t>
      </w:r>
      <w:r>
        <w:rPr>
          <w:rFonts w:ascii="David" w:hAnsi="David"/>
          <w:b/>
          <w:bCs/>
          <w:rtl/>
        </w:rPr>
        <w:t xml:space="preserve"> "אני לא אוותר לך... הורדתם בגדים?..." "חוץ מניסו שחם היו לך עוד גברים בתקופת ...... שהתמזמזת איתם"..."כשאת הגעת אליו לבית אבות ... הוא ירד לך? ... "עשית לו ביד?" (</w:t>
      </w:r>
      <w:r>
        <w:rPr>
          <w:rFonts w:ascii="David" w:hAnsi="David"/>
          <w:rtl/>
        </w:rPr>
        <w:t>עמוד 115 - 122 לתמליל)</w:t>
      </w:r>
      <w:r>
        <w:rPr>
          <w:rFonts w:ascii="David" w:hAnsi="David"/>
          <w:b/>
          <w:bCs/>
          <w:rtl/>
        </w:rPr>
        <w:t xml:space="preserve">. "זה היה מין אוראלי... לא רק... מין אנאלי?... לא אבל שניה אבל לא רגע אנחנו מוכרחים אני שואל את זה כי לצורך העניין ההחדרה.. שווה את יודעת אז אם היה מין אנאלי או מין אוראלי זה חשוב אנחנו צריכים לדעת את זה... גם וגם?... אוראלי ואנאלי?.... אל תתביישי נו, אל תתביישי מה את מתביישת... שום דבר לא יצא החוצה ואין מה להתבייש... את בחורה גדולה עצמאית יכולה לעשות מה שאת רוצה וגם הוא המין אוראלי שהיה... האנאלי לא היה?... הייתה חדירה? ... היה גם לפי הטבעת?..." </w:t>
      </w:r>
      <w:r>
        <w:rPr>
          <w:rFonts w:ascii="David" w:hAnsi="David"/>
          <w:rtl/>
        </w:rPr>
        <w:t>(עמ' 183 - 184 לתמליל).</w:t>
      </w:r>
    </w:p>
    <w:p w:rsidR="00AA0DE4" w:rsidRDefault="00AA0DE4" w:rsidP="00AA0DE4">
      <w:pPr>
        <w:spacing w:after="160" w:line="360" w:lineRule="auto"/>
        <w:ind w:left="357"/>
        <w:contextualSpacing/>
        <w:jc w:val="both"/>
        <w:rPr>
          <w:rFonts w:ascii="David" w:hAnsi="David"/>
          <w:b/>
          <w:bCs/>
          <w:rtl/>
        </w:rPr>
      </w:pPr>
    </w:p>
    <w:p w:rsidR="00B01C7F" w:rsidRDefault="00B01C7F" w:rsidP="00AA0DE4">
      <w:pPr>
        <w:spacing w:line="360" w:lineRule="auto"/>
        <w:ind w:left="357"/>
        <w:contextualSpacing/>
        <w:jc w:val="both"/>
        <w:rPr>
          <w:rFonts w:ascii="David" w:hAnsi="David"/>
          <w:b/>
          <w:bCs/>
          <w:rtl/>
        </w:rPr>
      </w:pPr>
    </w:p>
    <w:p w:rsidR="00B01C7F" w:rsidRDefault="00B01C7F" w:rsidP="00B01C7F">
      <w:pPr>
        <w:spacing w:line="360" w:lineRule="auto"/>
        <w:ind w:firstLine="357"/>
        <w:rPr>
          <w:rFonts w:ascii="David" w:hAnsi="David"/>
          <w:b/>
          <w:bCs/>
          <w:rtl/>
        </w:rPr>
      </w:pPr>
      <w:r>
        <w:rPr>
          <w:rFonts w:ascii="David" w:hAnsi="David"/>
          <w:b/>
          <w:bCs/>
          <w:rtl/>
        </w:rPr>
        <w:t>דיון</w:t>
      </w: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לאחר ששבתי וקראתי את תמליל החקירה וצפיתי בחלקים מהקלטת החקירה, אני סבורה כי החקירה חרגה מהסביר וכי היה בה כדי לפגוע במידה העולה על הנדרש בכבודה ובפרטיותה של התובעת. מבלי למעט מהאינטרס הציבורי החשוב שעמד ביסוד החקירה - ואין צורך לחזור על הדברים - הרי שהתובעת הבהירה החל מתחילת החקירה שהיה בינה לבין שחם קשר אינטימי ושבה והבהירה בלשון שאינה משתמעת לשתי פנים לכל אורך החקירה שהקשר האינטימי שכלל קיום יחסי מין, היה בהסכמתה, על פי רצונה ולעיתים אף ביוזמתה.</w:t>
      </w:r>
    </w:p>
    <w:p w:rsidR="00B01C7F" w:rsidRDefault="00B01C7F" w:rsidP="00B01C7F">
      <w:pPr>
        <w:pStyle w:val="af0"/>
        <w:spacing w:line="360" w:lineRule="auto"/>
        <w:ind w:left="357"/>
        <w:jc w:val="both"/>
        <w:rPr>
          <w:rFonts w:ascii="David" w:hAnsi="David" w:cs="David"/>
          <w:sz w:val="24"/>
          <w:szCs w:val="24"/>
        </w:rPr>
      </w:pPr>
      <w:r>
        <w:rPr>
          <w:rFonts w:ascii="David" w:hAnsi="David" w:cs="David"/>
          <w:sz w:val="24"/>
          <w:szCs w:val="24"/>
          <w:rtl/>
        </w:rPr>
        <w:t>לאחר שהתובעת הבהירה שהקשר המיני היה בהסכמה, כך שהחוקרים סברו "</w:t>
      </w:r>
      <w:r>
        <w:rPr>
          <w:rFonts w:ascii="David" w:hAnsi="David" w:cs="David"/>
          <w:b/>
          <w:bCs/>
          <w:sz w:val="24"/>
          <w:szCs w:val="24"/>
          <w:rtl/>
        </w:rPr>
        <w:t>שהיא לא קורבן קלאסי של עבירת מין, אלא היא עדה על גבול החשודה</w:t>
      </w:r>
      <w:r>
        <w:rPr>
          <w:rFonts w:ascii="David" w:hAnsi="David" w:cs="David"/>
          <w:sz w:val="24"/>
          <w:szCs w:val="24"/>
          <w:rtl/>
        </w:rPr>
        <w:t xml:space="preserve">" (סעיף 56 לתצהיר שחר), לא היה כל צורך חקירתי בדרישה הבלתי מתפשרת של החוקרים לקבל תשובות לשאלות רבות ומיותרות שנוגעות לפרטי פרטיו של הקשר המיני. גם אם החוקרים סברו שיש להוסיף ולברר את שאלת ההסכמה, הרי שלא ברור כיצד ההתמקדות בתיאור האקטים המיניים, מבלי שנשאלו שאלות שנוגעות לעצם ההסכמה, מקדמת את החקירה או רלוונטית לצורכי החקירה. </w:t>
      </w:r>
    </w:p>
    <w:p w:rsidR="00B01C7F" w:rsidRDefault="00B01C7F" w:rsidP="00AA0DE4">
      <w:pPr>
        <w:pStyle w:val="af0"/>
        <w:spacing w:after="0" w:line="360" w:lineRule="auto"/>
        <w:ind w:left="357"/>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ודוקו, יש להבחין בין הצורך לברר פרטים שנוגעים למועדים שבהם התנהל הקשר המיני, לבין ההתעקשות על קבלת תיאורים פלסטיים מפורטים אודות הקשר המיני. </w:t>
      </w:r>
    </w:p>
    <w:p w:rsidR="00B01C7F" w:rsidRDefault="00B01C7F" w:rsidP="00B01C7F">
      <w:pPr>
        <w:pStyle w:val="af0"/>
        <w:spacing w:line="360" w:lineRule="auto"/>
        <w:ind w:left="357"/>
        <w:jc w:val="both"/>
        <w:rPr>
          <w:rFonts w:ascii="David" w:hAnsi="David" w:cs="David"/>
          <w:sz w:val="24"/>
          <w:szCs w:val="24"/>
        </w:rPr>
      </w:pPr>
      <w:r>
        <w:rPr>
          <w:rFonts w:ascii="David" w:hAnsi="David" w:cs="David"/>
          <w:sz w:val="24"/>
          <w:szCs w:val="24"/>
          <w:rtl/>
        </w:rPr>
        <w:t>בהתחשב בכך שבעניינה של התובעת נחקר, בין היתר, חשד לעבירות של שוחד מיני, ניצול יחסי מרות או ניגוד עניינים, היה מקום לברר אם הקשר האינטימי התנהל בתקופה שבה שחם היה מפקד של התובעת או האם הוא טיפל בבקשות שהיא הגישה במסגרת שירותה במשטרה, במהלך התקופה שבה התנהל ביניהם קשר מיני או לאחר מכן. לפיכך, הדרישה כי התובעת תפרט מתי, היכן ובאילו נסיבות התקיים קשר מיני בינה לבין שחם היתה דרישה לגיטימית שתאמה את צרכי החקירה. ואולם, משהתובעת העידה באופן ברור ומפורש שהקשר המיני היה בהסכמה, דרישת החוקרים לתיאור הפרטים הפלסטיים המדויקים של הקשר המיני, מהווה חדירה מיותרת לפרטיותה של התובעת ופגיעה באוטונומיה שלה ובכבודה - ויצוין כי התובעת עצמה אמרה זאת לחוקרים ב"זמן אמת", במהלך החקירה (ראו לדוגמה עמ' 116 ועמ' 85 לתמליל).</w:t>
      </w:r>
    </w:p>
    <w:p w:rsidR="00B01C7F" w:rsidRDefault="00B01C7F" w:rsidP="00AA0DE4">
      <w:pPr>
        <w:pStyle w:val="af0"/>
        <w:spacing w:after="0" w:line="360" w:lineRule="auto"/>
        <w:ind w:left="357"/>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זאת ועוד, למרות שלשיטת החוקרים עלה חשד לעבירה של שוחד מיני, הם החליטו, משיקוליהם, שלא לחקור את התובעת באזהרה מחד גיסא ומאידך גיסא, במהלך החקירה אמרו לה במספר הזדמנויות שהיא "על הגבול" של חקירה באזהרה (עמ' 27 ועמ' 109 לתמליל), וכי ככל "</w:t>
      </w:r>
      <w:r>
        <w:rPr>
          <w:rFonts w:ascii="David" w:hAnsi="David" w:cs="David"/>
          <w:b/>
          <w:bCs/>
          <w:sz w:val="24"/>
          <w:szCs w:val="24"/>
          <w:rtl/>
        </w:rPr>
        <w:t>ויתברר שפיפס הכי קטן שלא סיפרת פה אמת את עלולה גם לשלם במשרתך...וזה צריך להיות ברור לך"</w:t>
      </w:r>
      <w:r>
        <w:rPr>
          <w:rFonts w:ascii="David" w:hAnsi="David" w:cs="David"/>
          <w:sz w:val="24"/>
          <w:szCs w:val="24"/>
          <w:rtl/>
        </w:rPr>
        <w:t xml:space="preserve"> (עמ' 78 לתמליל). בנסיבות אלה, הלחץ שהופעל על התובעת להשיב לאותן שאלות פולשניות ומיותרות שעסקו בפרטים הפלסטיים של המעשים המיניים, אינו לגיטימי. לאור עדותה המפורשת של התובעת שהכול נעשה בהסכמה, היה בידי החוקרים להבין "בזמן </w:t>
      </w:r>
      <w:r>
        <w:rPr>
          <w:rFonts w:ascii="David" w:hAnsi="David" w:cs="David"/>
          <w:sz w:val="24"/>
          <w:szCs w:val="24"/>
          <w:rtl/>
        </w:rPr>
        <w:lastRenderedPageBreak/>
        <w:t xml:space="preserve">אמת" שהפרטים והתיאורים הפלסטיים שהם התעקשו לשאול לגביהם, אינם נדרשים לסיווג העבירה לכאורה או לצרכי החקירה. </w:t>
      </w:r>
    </w:p>
    <w:p w:rsidR="00B01C7F" w:rsidRDefault="00B01C7F" w:rsidP="00B01C7F">
      <w:pPr>
        <w:spacing w:line="360" w:lineRule="auto"/>
        <w:jc w:val="both"/>
        <w:rPr>
          <w:rFonts w:ascii="David" w:hAnsi="David"/>
          <w:rtl/>
        </w:rPr>
      </w:pPr>
    </w:p>
    <w:p w:rsidR="00B01C7F" w:rsidRDefault="00B01C7F" w:rsidP="00AA0DE4">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אין בידי לקבל את טענת הנתבעת כי האווירה והלך הרוח בחקירה היו טובים ונינוחים, תוך שמירה על יחס מכבד וכי הדבר ניכר בהתנהלותה של התובעת עצמה ש"איימה" ב"חצי חיוך" שתתבע את כל מח"ש אם פרטי החקירה יודלפו ואף התבדחה וענתה על שאלות החוקרים לעיתים בציניות, לעיתים בפתיחות רבה תוך מסירת פרטים אינטימיים רבים מיוזמתה ומבלי שנשאלה. </w:t>
      </w:r>
    </w:p>
    <w:p w:rsidR="00B01C7F" w:rsidRDefault="00B01C7F" w:rsidP="00AA0DE4">
      <w:pPr>
        <w:pStyle w:val="af0"/>
        <w:spacing w:line="360" w:lineRule="auto"/>
        <w:ind w:left="357"/>
        <w:jc w:val="both"/>
        <w:rPr>
          <w:rFonts w:ascii="David" w:hAnsi="David" w:cs="David"/>
          <w:sz w:val="24"/>
          <w:szCs w:val="24"/>
        </w:rPr>
      </w:pPr>
      <w:r>
        <w:rPr>
          <w:rFonts w:ascii="David" w:hAnsi="David" w:cs="David"/>
          <w:sz w:val="24"/>
          <w:szCs w:val="24"/>
          <w:rtl/>
        </w:rPr>
        <w:t>עצם העובדה שהתובעת ענתה בציניות, התבדחה ואף צחקה, אין משמעה שהיא לא חשה מבוכה והשפלה נוכח השאלות החודרניות. התובעת אמרה את הדברים בזמן אמת (עמ' 85, 88, 116 ו-121 לתמליל), ומבוכתה אף ניכרת בצפייה בהקלטת החקירה. בהקשר זה ראיתי להוסיף ולהפנות לדברי התובעת בחקירתה הנגדית: "</w:t>
      </w:r>
      <w:r>
        <w:rPr>
          <w:rFonts w:ascii="David" w:hAnsi="David" w:cs="David"/>
          <w:b/>
          <w:bCs/>
          <w:sz w:val="24"/>
          <w:szCs w:val="24"/>
          <w:rtl/>
        </w:rPr>
        <w:t>...נכון, צחקתי, נכון התבדחתי. רציתי, אתה יודע מה, רציתי לרצות אותם באותה שנייה כי רציתי כל כך לצאת מזה, לצאת מזה בחיים כזה, לצאת מכל הסיטואציה הזאת, מהמבוכה. תן לי לצאת קודם כל מהמקום הזה, מההשפלה הזאתי..."</w:t>
      </w:r>
      <w:r>
        <w:rPr>
          <w:rFonts w:ascii="David" w:hAnsi="David" w:cs="David"/>
          <w:sz w:val="24"/>
          <w:szCs w:val="24"/>
          <w:rtl/>
        </w:rPr>
        <w:t xml:space="preserve"> (עמ' 104 לפרוטוקול). גם התנצלותם של החוקרים על אי הנעימות שבחקירה או הצעתם שהתובעת לא תחקר על ידי חוקר - גבר, אינם מכשירים או מרפאים את הפגיעה הכרוכה באותן שאלות מיותרות ופוגעניות שהתובעת נשאלה ביחס לפרטי המעשים המיניים, זאת לאחר שהיא הבהירה חזור והבהר שלא נעשה דבר בניגוד להסכמתה. </w:t>
      </w:r>
    </w:p>
    <w:p w:rsidR="00B01C7F" w:rsidRDefault="00B01C7F" w:rsidP="005C245C">
      <w:pPr>
        <w:pStyle w:val="af0"/>
        <w:spacing w:after="0" w:line="360" w:lineRule="auto"/>
        <w:ind w:left="357"/>
        <w:jc w:val="both"/>
        <w:rPr>
          <w:rFonts w:ascii="David" w:hAnsi="David" w:cs="David"/>
          <w:sz w:val="24"/>
          <w:szCs w:val="24"/>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לא ראיתי לקבל את טענת התובעת כי החוקרים לא הניחו לה ללכת לשירותים לבדה וכי בעצם הליווי לשירותים לרבות כניסה לחדר השירותים (להבדיל מתא השירותים שאליו התובעת נכנסה לבדה), יש משום השפלה, ביזוי ופגיעה בתובעת שלא היה חשש שתשבש את החקירה. </w:t>
      </w:r>
    </w:p>
    <w:p w:rsidR="00B01C7F" w:rsidRDefault="00B01C7F" w:rsidP="00B01C7F">
      <w:pPr>
        <w:spacing w:line="360" w:lineRule="auto"/>
        <w:ind w:left="357"/>
        <w:jc w:val="both"/>
        <w:rPr>
          <w:rFonts w:ascii="David" w:hAnsi="David"/>
          <w:rtl/>
        </w:rPr>
      </w:pPr>
      <w:r>
        <w:rPr>
          <w:rFonts w:ascii="David" w:hAnsi="David"/>
          <w:rtl/>
        </w:rPr>
        <w:t>בעניין זה מקובלת עלי טענת הנתבעת כי מדובר בנוהל רגיל שלפיו לא מאפשרים לעדים להסתובב במשרדי מח"ש ללא ליווי, במיוחד כשמדובר בחקירה רגישה (סעיף 28 בתצהיר החוקרת אירית). כן לא ראיתי לקבל את הטענה שלא היה חשש לשיבוש שהרי התובעת אישרה בחקירתה וגם בעדותה בחקירה נגדית שבבוקר החקירה היא מחקה התכתבות ב</w:t>
      </w:r>
      <w:r>
        <w:rPr>
          <w:rFonts w:ascii="David" w:hAnsi="David"/>
          <w:sz w:val="20"/>
          <w:szCs w:val="20"/>
        </w:rPr>
        <w:t>SMS-</w:t>
      </w:r>
      <w:r>
        <w:rPr>
          <w:rFonts w:ascii="David" w:hAnsi="David"/>
          <w:rtl/>
        </w:rPr>
        <w:t xml:space="preserve"> </w:t>
      </w:r>
      <w:r>
        <w:rPr>
          <w:rFonts w:ascii="David" w:hAnsi="David" w:hint="cs"/>
          <w:rtl/>
        </w:rPr>
        <w:t xml:space="preserve">עם שחם, אם כי לטענתה מדובר היה בהודעות שאינן רלוונטיות לחקירה. </w:t>
      </w:r>
    </w:p>
    <w:p w:rsidR="00B01C7F" w:rsidRDefault="00B01C7F" w:rsidP="00B01C7F">
      <w:pPr>
        <w:spacing w:line="360" w:lineRule="auto"/>
        <w:ind w:left="357"/>
        <w:jc w:val="both"/>
        <w:rPr>
          <w:rFonts w:ascii="David" w:hAnsi="David"/>
          <w:rtl/>
        </w:rPr>
      </w:pPr>
      <w:r>
        <w:rPr>
          <w:rFonts w:ascii="David" w:hAnsi="David"/>
          <w:rtl/>
        </w:rPr>
        <w:t xml:space="preserve">התובעת מוסיפה וטוענת כי גם בעת ההליכה לשירותים, החוקרת אירית המשיכה להטיח בה שאלות שנוגעות לחקירה לרבות שאלות בנוגע ליחסים עם גברים אחרים. החוקרת אירית הכחישה את הדברים. הדברים שנאמרו בעת ההליכה לשירותים, אם נאמרו, אינם מתועדים. מדובר בגרסה מול גרסה ובנסיבות העניין לא סביר בעיני שהתובעת נשאלה שאלות שנוגעות לחקירה בעת שאנשים זרים יכולים היו לשמוע את הדברים.  </w:t>
      </w:r>
    </w:p>
    <w:p w:rsidR="005C245C" w:rsidRDefault="005C245C" w:rsidP="005C245C">
      <w:pPr>
        <w:spacing w:line="360" w:lineRule="auto"/>
        <w:ind w:left="357"/>
        <w:jc w:val="both"/>
        <w:rPr>
          <w:rFonts w:ascii="David" w:hAnsi="David"/>
          <w:rtl/>
        </w:rPr>
      </w:pPr>
    </w:p>
    <w:p w:rsidR="005C245C" w:rsidRDefault="005C245C" w:rsidP="005C245C">
      <w:pPr>
        <w:spacing w:line="360" w:lineRule="auto"/>
        <w:ind w:left="357"/>
        <w:jc w:val="both"/>
        <w:rPr>
          <w:rFonts w:ascii="David" w:hAnsi="David"/>
          <w:rtl/>
        </w:rPr>
      </w:pPr>
    </w:p>
    <w:p w:rsidR="005C245C" w:rsidRDefault="005C245C" w:rsidP="005C245C">
      <w:pPr>
        <w:spacing w:line="360" w:lineRule="auto"/>
        <w:ind w:left="357"/>
        <w:jc w:val="both"/>
        <w:rPr>
          <w:rFonts w:ascii="David" w:hAnsi="David"/>
          <w:rtl/>
        </w:rPr>
      </w:pP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b/>
          <w:bCs/>
          <w:sz w:val="24"/>
          <w:szCs w:val="24"/>
          <w:rtl/>
        </w:rPr>
        <w:t>סיכומם של דברים</w:t>
      </w:r>
      <w:r>
        <w:rPr>
          <w:rFonts w:ascii="David" w:hAnsi="David" w:cs="David"/>
          <w:sz w:val="24"/>
          <w:szCs w:val="24"/>
          <w:rtl/>
        </w:rPr>
        <w:t xml:space="preserve"> - בנסיבות העניין חקירתה של התובעת היתה מוצדקת ונדרשת. עם זאת, לאחר שהתובעת הבהירה כבר בתחילת החקירה כי מדובר היה קשר אינטימי שכלל קיום יחסי מין בהסכמה, וחזרה והבהירה בצורה מפורשת שלא נעשה דבר בניגוד לרצונה או שלא בהסכמתה, השאלות הרבות שהיא נשאלה אודות פרטי הקשר המיני תוך ירידה לתיאורים פלסטיים מפורטים, היו מיותרות ובלתי רלוונטיות לצרכי החקירה. להבדיל מדרישתם של החוקרים כי התובעת תדייק בשאלת המועדים והנסיבות שבהם התקיימו המפגשים המיניים, לא היתה כל הצדקה לדרוש מהתובעת להשיב על שאלות רבות ומיותרות שנוגעות לפרטי הקשר המיני זאת תוך איומים מפורשים או משתמעים לעבור לחקירה באזהרה או כי התובעת מסכנת את מקום עבודתה. בהקשר זה היה בחקירה כדי לפגוע במידה העולה על הנדרש בפרטיותה של התובעת ובזכויות המוגנות על-פי חוק יסוד: כבוד האדם וחרותו, לכבוד ולשמירה על האוטונומיה.</w:t>
      </w:r>
    </w:p>
    <w:p w:rsidR="00B01C7F" w:rsidRDefault="00B01C7F" w:rsidP="00B01C7F">
      <w:pPr>
        <w:pStyle w:val="af0"/>
        <w:spacing w:after="120" w:line="360" w:lineRule="auto"/>
        <w:ind w:left="357"/>
        <w:jc w:val="both"/>
        <w:rPr>
          <w:rFonts w:ascii="David" w:hAnsi="David" w:cs="David"/>
          <w:sz w:val="24"/>
          <w:szCs w:val="24"/>
        </w:rPr>
      </w:pPr>
    </w:p>
    <w:p w:rsidR="00B01C7F" w:rsidRDefault="00B01C7F" w:rsidP="00F64F24">
      <w:pPr>
        <w:spacing w:line="360" w:lineRule="auto"/>
        <w:ind w:left="357"/>
        <w:rPr>
          <w:rFonts w:ascii="David" w:hAnsi="David"/>
          <w:b/>
          <w:bCs/>
        </w:rPr>
      </w:pPr>
      <w:r>
        <w:rPr>
          <w:rFonts w:ascii="David" w:hAnsi="David"/>
          <w:b/>
          <w:bCs/>
          <w:rtl/>
        </w:rPr>
        <w:t>שאלת האחריות - סיכום</w:t>
      </w:r>
    </w:p>
    <w:p w:rsidR="00B01C7F" w:rsidRDefault="00B01C7F" w:rsidP="00F64F24">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הלכה מושרשת היא כי המשטרה כפופה בהפעלת הסמכויות הנתונות לה על-פי חוק, לחובת זהירות שמקימה חבות בנזיקין מכוח עוולת הרשלנות הקבועה בסעיף 36 לפקודת הנזיקין, מקום בו ניתן לצפות כי התרשלות בהפעלת אותן סמכויות, עלולה לגרום נזק. על המשטרה מוטלת אפוא חובת זהירות קונקרטית כלפי אדם שעלול להינזק כתוצאה מפעולותיה או מחדליה ועליה לנקוט באמצעי זהירות סבירים למניעת נזק שניתן וצריך לצפותו (ע"א 429/82 </w:t>
      </w:r>
      <w:r>
        <w:rPr>
          <w:rFonts w:ascii="David" w:hAnsi="David" w:cs="David"/>
          <w:b/>
          <w:bCs/>
          <w:sz w:val="24"/>
          <w:szCs w:val="24"/>
          <w:rtl/>
        </w:rPr>
        <w:t>מדינת ישראל נ' סוהן</w:t>
      </w:r>
      <w:r>
        <w:rPr>
          <w:rFonts w:ascii="David" w:hAnsi="David" w:cs="David"/>
          <w:sz w:val="24"/>
          <w:szCs w:val="24"/>
          <w:rtl/>
        </w:rPr>
        <w:t xml:space="preserve"> פ"ד מב(3) 733 (1988), ע"א 337/81 </w:t>
      </w:r>
      <w:r>
        <w:rPr>
          <w:rFonts w:ascii="David" w:hAnsi="David" w:cs="David"/>
          <w:b/>
          <w:bCs/>
          <w:sz w:val="24"/>
          <w:szCs w:val="24"/>
          <w:rtl/>
        </w:rPr>
        <w:t>בוסקילה נ' מדינת ישראל</w:t>
      </w:r>
      <w:r>
        <w:rPr>
          <w:rFonts w:ascii="David" w:hAnsi="David" w:cs="David"/>
          <w:sz w:val="24"/>
          <w:szCs w:val="24"/>
          <w:rtl/>
        </w:rPr>
        <w:t xml:space="preserve">, פ"ד לח (3) 337 (1984), ע"א 4241/06 </w:t>
      </w:r>
      <w:r>
        <w:rPr>
          <w:rFonts w:ascii="David" w:hAnsi="David" w:cs="David"/>
          <w:b/>
          <w:bCs/>
          <w:sz w:val="24"/>
          <w:szCs w:val="24"/>
          <w:rtl/>
        </w:rPr>
        <w:t>לוי נ' מדינת ישראל - משטרת ישראל</w:t>
      </w:r>
      <w:r>
        <w:rPr>
          <w:rFonts w:ascii="David" w:hAnsi="David" w:cs="David"/>
          <w:sz w:val="24"/>
          <w:szCs w:val="24"/>
          <w:rtl/>
        </w:rPr>
        <w:t xml:space="preserve"> (12.3.2009)).  </w:t>
      </w:r>
    </w:p>
    <w:p w:rsidR="00F64F24" w:rsidRDefault="00F64F24" w:rsidP="00F64F24">
      <w:pPr>
        <w:pStyle w:val="af0"/>
        <w:spacing w:line="360" w:lineRule="auto"/>
        <w:ind w:left="357"/>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בע"א 3580/06 </w:t>
      </w:r>
      <w:r>
        <w:rPr>
          <w:rFonts w:ascii="David" w:hAnsi="David" w:cs="David"/>
          <w:b/>
          <w:bCs/>
          <w:sz w:val="24"/>
          <w:szCs w:val="24"/>
          <w:rtl/>
        </w:rPr>
        <w:t>עזבון המנוח חגי יוסף ז"ל נ' מדינת ישראל</w:t>
      </w:r>
      <w:r>
        <w:rPr>
          <w:rFonts w:ascii="David" w:hAnsi="David" w:cs="David"/>
          <w:sz w:val="24"/>
          <w:szCs w:val="24"/>
          <w:rtl/>
        </w:rPr>
        <w:t xml:space="preserve"> (21.3.2011), נדונה בין היתר שאלת אחריותה של המשטרה בניהול חקירות ובניהול ההליך הפלילי, בהקשר זה נפסק:</w:t>
      </w:r>
    </w:p>
    <w:p w:rsidR="00B01C7F" w:rsidRDefault="00B01C7F" w:rsidP="00B01C7F">
      <w:pPr>
        <w:spacing w:line="360" w:lineRule="auto"/>
        <w:ind w:left="851" w:right="851"/>
        <w:jc w:val="both"/>
        <w:rPr>
          <w:rFonts w:ascii="David" w:hAnsi="David"/>
          <w:b/>
          <w:bCs/>
          <w:rtl/>
        </w:rPr>
      </w:pPr>
      <w:r>
        <w:rPr>
          <w:rFonts w:ascii="David" w:hAnsi="David"/>
          <w:b/>
          <w:bCs/>
          <w:rtl/>
        </w:rPr>
        <w:t xml:space="preserve">"אנשי המשטרה נדרשים להפעיל את הסמכויות הנתונות להם בתבונה, ולהשתמש בכוחות הנתונים להם במיומנות ובסבירות... </w:t>
      </w:r>
    </w:p>
    <w:p w:rsidR="00B01C7F" w:rsidRDefault="00B01C7F" w:rsidP="00F64F24">
      <w:pPr>
        <w:spacing w:after="160" w:line="360" w:lineRule="auto"/>
        <w:ind w:left="851" w:right="851"/>
        <w:jc w:val="both"/>
        <w:rPr>
          <w:rFonts w:ascii="David" w:hAnsi="David"/>
          <w:b/>
          <w:bCs/>
          <w:rtl/>
        </w:rPr>
      </w:pPr>
      <w:r>
        <w:rPr>
          <w:rFonts w:ascii="David" w:hAnsi="David"/>
          <w:b/>
          <w:bCs/>
          <w:rtl/>
        </w:rPr>
        <w:t xml:space="preserve">גבולות האחריות האזרחית של גורמי המשטרה בתחום החקירות וההליך הפלילי נמתחים כנגזרת משיקולי מדיניות משפטית. מן הצד האחד, המשטרה מופקדת על אכיפת החוק הפלילי, לצורך הגנה על ביטחון החיים ושלמות הגוף והרכוש. לשם השגה יעילה של יעדי המשטרה, הוקנו בידיה סמכויות וכוחות אותם היא נדרשת להפעיל. בצד חובתה של המשטרה להגשים את משימותיה למען האינטרס הציבורי, היא נדרשת לנקוט זהירות רבה בהפעלת סמכויותיה בהליך הפלילי, כדי למנוע פגיעה לא ראויה בזכויות היסוד של הפרט לחירות, לכבוד ולאוטונומיה אישית. נדרש איזון עדין ומורכב </w:t>
      </w:r>
      <w:r>
        <w:rPr>
          <w:rFonts w:ascii="David" w:hAnsi="David"/>
          <w:b/>
          <w:bCs/>
          <w:rtl/>
        </w:rPr>
        <w:lastRenderedPageBreak/>
        <w:t xml:space="preserve">בין האינטרס הציבורי החיוני במלחמה בפשיעה, לבין ההגנה על זכויות היסוד של הפרט, מושא ההליך הפלילי..." </w:t>
      </w:r>
      <w:r>
        <w:rPr>
          <w:rFonts w:ascii="David" w:hAnsi="David"/>
          <w:rtl/>
        </w:rPr>
        <w:t>(פסקאות 90 - 91).</w:t>
      </w:r>
    </w:p>
    <w:p w:rsidR="00B01C7F" w:rsidRDefault="00B01C7F" w:rsidP="00B01C7F">
      <w:pPr>
        <w:spacing w:line="360" w:lineRule="auto"/>
        <w:ind w:left="357"/>
        <w:jc w:val="both"/>
        <w:rPr>
          <w:rFonts w:ascii="David" w:hAnsi="David"/>
          <w:rtl/>
        </w:rPr>
      </w:pPr>
      <w:r>
        <w:rPr>
          <w:rFonts w:ascii="David" w:hAnsi="David"/>
          <w:rtl/>
        </w:rPr>
        <w:t xml:space="preserve">עוד נפסק כי על אנשי המשטרה להפעיל את הסמכויות הנתונות להם במיומנות ובסבירות ובכלל זה לנקוט אמצעי זהירות סבירים כדי למנוע גרימת נזק לנחקרים, חשודים ונאשמים (ע"א 4584/10 </w:t>
      </w:r>
      <w:r>
        <w:rPr>
          <w:rFonts w:ascii="David" w:hAnsi="David"/>
          <w:b/>
          <w:bCs/>
          <w:rtl/>
        </w:rPr>
        <w:t>מדינת ישראל נ' שובר</w:t>
      </w:r>
      <w:r>
        <w:rPr>
          <w:rFonts w:ascii="David" w:hAnsi="David"/>
          <w:rtl/>
        </w:rPr>
        <w:t xml:space="preserve"> (4.12.2012) (להלן: "</w:t>
      </w:r>
      <w:r>
        <w:rPr>
          <w:rFonts w:ascii="David" w:hAnsi="David"/>
          <w:b/>
          <w:bCs/>
          <w:rtl/>
        </w:rPr>
        <w:t>שובר</w:t>
      </w:r>
      <w:r>
        <w:rPr>
          <w:rFonts w:ascii="David" w:hAnsi="David"/>
          <w:rtl/>
        </w:rPr>
        <w:t>")).</w:t>
      </w:r>
    </w:p>
    <w:p w:rsidR="00F64F24" w:rsidRDefault="00F64F24" w:rsidP="00B01C7F">
      <w:pPr>
        <w:spacing w:line="360" w:lineRule="auto"/>
        <w:ind w:left="357"/>
        <w:jc w:val="both"/>
        <w:rPr>
          <w:rFonts w:ascii="David" w:hAnsi="David"/>
          <w:rtl/>
        </w:rPr>
      </w:pPr>
    </w:p>
    <w:p w:rsidR="00B01C7F" w:rsidRDefault="00B01C7F" w:rsidP="00B01C7F">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בענייננו, לאחר בחינת חקירתה של כל אחת מהתובעות, ראיתי לקבוע כי גם בהתחשב באינטרס הציבורי החשוב שעמד ביסוד החקירה ובכך שחקירה בחשד לעבירות מין או בחשד לעבירה של פגיעה בטוהר המידות בהקשר של קיום יחסים אינטימיים, היא מטבעה חקירה מביכה שכרוכה בחדירה לפרטיותן של הנחקרות, חקירתה של כל אחת מהתובעות כללה שאלות רבות מיותרות שאינן מתיישבות עם חובת הזהירות שמוטלת על רשויות החקירה לנקוט באמצעים סבירים כדי להגן על זכויותיהן של התובעות שנחקרו כעדות בפרשה.</w:t>
      </w:r>
    </w:p>
    <w:p w:rsidR="00B01C7F" w:rsidRDefault="00B01C7F" w:rsidP="00F64F24">
      <w:pPr>
        <w:spacing w:after="160" w:line="360" w:lineRule="auto"/>
        <w:ind w:left="357"/>
        <w:jc w:val="both"/>
        <w:rPr>
          <w:rFonts w:ascii="David" w:hAnsi="David"/>
          <w:rtl/>
        </w:rPr>
      </w:pPr>
      <w:r>
        <w:rPr>
          <w:rFonts w:ascii="David" w:hAnsi="David"/>
          <w:rtl/>
        </w:rPr>
        <w:t xml:space="preserve">מקובלת עלי טענת הנתבעת כי חקירה היא אירוע דינמי מורכב כך שלא ניתן לשפוט בדיעבד כל מילה שנאמרה וכל שאלה שנשאלה.. אוסיף ואומר כי לא כל אמירה או שאלה שאינה במקומה תעלה כדי התרשלות בניהול החקירה ותקים עילת תביעה בנזיקין. ואולם בענייננו, בחינת החקירה והתנהלות החוקרים במהלכה על-פי העובדות והנתונים שעמדו בפניהם בזמן אמת, ובראשם עדותה של כל אחת מהתובעות, בנסיבות הייחודיות לה, כי הקשר המיני היה בהסכמה, מעלה כי לא היתה הצדקה לחקירה שכללה שאלות רבות שהן שאלות מציצניות שמתמקדות בירידה לפרטי פרטים ותיאורים פלסטיים של המעשה המיני. מיצוי החקירה לרבות בירור שאלת ההסכמה, יכולים וצריכים היו להיעשות בצורה מכבדת ומכובדת, זאת ללא הפעלת לחץ בדרך של שאלות בוטות ופולשניות, איום במעבר לחקירה באזהרה, או רמיזות בדבר סיכון מקום עבודתן של התובעות. בהקשר זה, התנהלותם של החוקרים מהווה סטייה מסטנדרט הזהירות הסביר שמצופה מרשויות החקירה לכבד ולהגן על זכויותיהן של התובעות  שנחקרו כעדות שאינן חשודות בביצוע עבירה כלשהי מפני פגיעה לא מידתית בכבודן ובפרטיותן. בנסיבות אלה, קמה לתובעות עילת תביעה מכוח עוולת הרשלנות, בגין הנזק שנגרם להן בשל אותן שאלות ואמירות מיותרות ופוגעניות שלא נדרשו באופן סביר לחקירה.  </w:t>
      </w:r>
    </w:p>
    <w:p w:rsidR="00F64F24" w:rsidRDefault="00F64F24" w:rsidP="00F64F24">
      <w:pPr>
        <w:spacing w:line="360" w:lineRule="auto"/>
        <w:ind w:left="357"/>
        <w:jc w:val="both"/>
        <w:rPr>
          <w:rFonts w:ascii="David" w:hAnsi="David"/>
          <w:rtl/>
        </w:rPr>
      </w:pPr>
    </w:p>
    <w:p w:rsidR="00B01C7F" w:rsidRDefault="00B01C7F" w:rsidP="00F64F24">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זאת ועוד, ראיתי לקבוע כי משהתובעת 1 נחקרה לבירור חשד שבוצעה כלפיה עבירת מין ונוכח מהות החקירה שכללה שאלות אינטימיות, היה מקום לאפשר לה כנפגעת פוטנציאלית של עבירת מין למצות את הזכות הקבועה בסעיף 14 לחוק זכויות נפגעי עבירה, להיות מלווה בחקירה על ידי אדם אחר לפי בחירתה, זאת אלא אם הקצין הממונה ששקל את הדברים בזמן אמת, היה סבור שיש בכך כדי לפגוע בחקירה - מה שלא נעשה בענייננו.</w:t>
      </w:r>
    </w:p>
    <w:p w:rsidR="00F64F24" w:rsidRDefault="00F64F24" w:rsidP="00F64F24">
      <w:pPr>
        <w:spacing w:line="360" w:lineRule="auto"/>
        <w:jc w:val="both"/>
        <w:rPr>
          <w:rFonts w:ascii="David" w:hAnsi="David"/>
          <w:rtl/>
        </w:rPr>
      </w:pPr>
    </w:p>
    <w:p w:rsidR="00F64F24" w:rsidRPr="00F64F24" w:rsidRDefault="00F64F24" w:rsidP="00F64F24">
      <w:pPr>
        <w:spacing w:line="360" w:lineRule="auto"/>
        <w:jc w:val="both"/>
        <w:rPr>
          <w:rFonts w:ascii="David" w:hAnsi="David"/>
          <w:rtl/>
        </w:rPr>
      </w:pPr>
    </w:p>
    <w:p w:rsidR="00B01C7F" w:rsidRDefault="00B01C7F" w:rsidP="00B01C7F">
      <w:pPr>
        <w:pStyle w:val="af0"/>
        <w:numPr>
          <w:ilvl w:val="0"/>
          <w:numId w:val="1"/>
        </w:numPr>
        <w:spacing w:line="360" w:lineRule="auto"/>
        <w:ind w:left="357" w:hanging="357"/>
        <w:jc w:val="both"/>
        <w:rPr>
          <w:rFonts w:ascii="David" w:hAnsi="David" w:cs="David"/>
          <w:b/>
          <w:bCs/>
          <w:sz w:val="24"/>
          <w:szCs w:val="24"/>
          <w:rtl/>
        </w:rPr>
      </w:pPr>
      <w:r>
        <w:rPr>
          <w:rFonts w:ascii="David" w:hAnsi="David" w:cs="David"/>
          <w:sz w:val="24"/>
          <w:szCs w:val="24"/>
          <w:rtl/>
        </w:rPr>
        <w:t>התובעות הוסיפו וטענו כי התנהלות החוקרים מקימה להן עילת תביעה מכוח</w:t>
      </w:r>
      <w:r>
        <w:rPr>
          <w:rFonts w:ascii="David" w:hAnsi="David" w:cs="David"/>
          <w:b/>
          <w:bCs/>
          <w:sz w:val="24"/>
          <w:szCs w:val="24"/>
          <w:rtl/>
        </w:rPr>
        <w:t xml:space="preserve"> </w:t>
      </w:r>
      <w:r>
        <w:rPr>
          <w:rFonts w:ascii="David" w:hAnsi="David" w:cs="David"/>
          <w:sz w:val="24"/>
          <w:szCs w:val="24"/>
          <w:rtl/>
        </w:rPr>
        <w:t xml:space="preserve">סעיף 3 (א) (5) לחוק למניעת הטרדה מינית שלפיו הטרדה מינית כוללת </w:t>
      </w:r>
      <w:r>
        <w:rPr>
          <w:rFonts w:ascii="David" w:hAnsi="David" w:cs="David"/>
          <w:b/>
          <w:bCs/>
          <w:sz w:val="24"/>
          <w:szCs w:val="24"/>
          <w:rtl/>
        </w:rPr>
        <w:t>"התייחסות מבזה או משפילה המופנית לאדם ביחס למינו או ל מיניותו, לרבות נטייתו המינית"</w:t>
      </w:r>
      <w:r>
        <w:rPr>
          <w:rFonts w:ascii="David" w:hAnsi="David" w:cs="David"/>
          <w:sz w:val="24"/>
          <w:szCs w:val="24"/>
          <w:rtl/>
        </w:rPr>
        <w:t>.</w:t>
      </w:r>
    </w:p>
    <w:p w:rsidR="00B01C7F" w:rsidRDefault="00B01C7F" w:rsidP="00B01C7F">
      <w:pPr>
        <w:pStyle w:val="af0"/>
        <w:spacing w:line="360" w:lineRule="auto"/>
        <w:ind w:left="357"/>
        <w:jc w:val="both"/>
        <w:rPr>
          <w:rFonts w:ascii="David" w:hAnsi="David" w:cs="David"/>
          <w:b/>
          <w:bCs/>
          <w:sz w:val="24"/>
          <w:szCs w:val="24"/>
        </w:rPr>
      </w:pPr>
      <w:r>
        <w:rPr>
          <w:rFonts w:ascii="David" w:hAnsi="David" w:cs="David"/>
          <w:b/>
          <w:bCs/>
          <w:sz w:val="24"/>
          <w:szCs w:val="24"/>
          <w:rtl/>
        </w:rPr>
        <w:t xml:space="preserve"> </w:t>
      </w:r>
      <w:r>
        <w:rPr>
          <w:rFonts w:ascii="David" w:hAnsi="David" w:cs="David"/>
          <w:sz w:val="24"/>
          <w:szCs w:val="24"/>
          <w:rtl/>
        </w:rPr>
        <w:t>לא ראיתי לקבל טענה זו.</w:t>
      </w:r>
    </w:p>
    <w:p w:rsidR="00B01C7F" w:rsidRDefault="00B01C7F" w:rsidP="00B01C7F">
      <w:pPr>
        <w:pStyle w:val="af0"/>
        <w:spacing w:line="360" w:lineRule="auto"/>
        <w:ind w:left="357"/>
        <w:jc w:val="both"/>
        <w:rPr>
          <w:rFonts w:ascii="David" w:hAnsi="David" w:cs="David"/>
          <w:sz w:val="24"/>
          <w:szCs w:val="24"/>
        </w:rPr>
      </w:pPr>
      <w:r>
        <w:rPr>
          <w:rFonts w:ascii="David" w:hAnsi="David" w:cs="David"/>
          <w:sz w:val="24"/>
          <w:szCs w:val="24"/>
          <w:rtl/>
        </w:rPr>
        <w:t xml:space="preserve">הלכה היא כי כדי לבסס תביעה על פי סעיף 3(א)(5) לחוק למניעת הטרדה מינית יש לבחון את הדברים בהתחשב בהקשר שבו בוצעו, טיב היחסים ומכלול נסיבות העניין (ע"ע (ארצי) 9834-05-16 </w:t>
      </w:r>
      <w:r>
        <w:rPr>
          <w:rFonts w:ascii="David" w:hAnsi="David" w:cs="David"/>
          <w:b/>
          <w:bCs/>
          <w:sz w:val="24"/>
          <w:szCs w:val="24"/>
          <w:rtl/>
        </w:rPr>
        <w:t xml:space="preserve">ד"ר דורון זמיר - פלונית </w:t>
      </w:r>
      <w:r>
        <w:rPr>
          <w:rFonts w:ascii="David" w:hAnsi="David" w:cs="David"/>
          <w:sz w:val="24"/>
          <w:szCs w:val="24"/>
          <w:rtl/>
        </w:rPr>
        <w:t xml:space="preserve">(22.8.2022), עש"מ 6737/02 </w:t>
      </w:r>
      <w:r>
        <w:rPr>
          <w:rFonts w:ascii="David" w:hAnsi="David" w:cs="David"/>
          <w:b/>
          <w:bCs/>
          <w:sz w:val="24"/>
          <w:szCs w:val="24"/>
          <w:rtl/>
        </w:rPr>
        <w:t>מדינת ישראל נ' זקן</w:t>
      </w:r>
      <w:r>
        <w:rPr>
          <w:rFonts w:ascii="David" w:hAnsi="David" w:cs="David"/>
          <w:sz w:val="24"/>
          <w:szCs w:val="24"/>
          <w:rtl/>
        </w:rPr>
        <w:t xml:space="preserve">, פ"ד נז(2) 312 (2003), ע"ע (ארצי) 454/08 </w:t>
      </w:r>
      <w:r>
        <w:rPr>
          <w:rFonts w:ascii="David" w:hAnsi="David" w:cs="David"/>
          <w:b/>
          <w:bCs/>
          <w:sz w:val="24"/>
          <w:szCs w:val="24"/>
          <w:rtl/>
        </w:rPr>
        <w:t xml:space="preserve">פלונית- חברה פלונית </w:t>
      </w:r>
      <w:r>
        <w:rPr>
          <w:rFonts w:ascii="David" w:hAnsi="David" w:cs="David"/>
          <w:sz w:val="24"/>
          <w:szCs w:val="24"/>
          <w:rtl/>
        </w:rPr>
        <w:t xml:space="preserve">(12.4.2010)). </w:t>
      </w:r>
    </w:p>
    <w:p w:rsidR="00B01C7F" w:rsidRDefault="00B01C7F" w:rsidP="00B01C7F">
      <w:pPr>
        <w:pStyle w:val="af0"/>
        <w:spacing w:line="360" w:lineRule="auto"/>
        <w:ind w:left="357"/>
        <w:jc w:val="both"/>
        <w:rPr>
          <w:rFonts w:ascii="David" w:hAnsi="David" w:cs="David"/>
          <w:sz w:val="24"/>
          <w:szCs w:val="24"/>
          <w:rtl/>
        </w:rPr>
      </w:pPr>
      <w:r>
        <w:rPr>
          <w:rFonts w:ascii="David" w:hAnsi="David" w:cs="David"/>
          <w:sz w:val="24"/>
          <w:szCs w:val="24"/>
          <w:rtl/>
        </w:rPr>
        <w:t>בענייננו, מדובר היה בחקירה שהתמקדה בשאלת קיום קשרים מיניים בין שחם לשוטרות זוטרות שהיו מצויות עימו ביחסי כפיפות.  חקירה מסוג זה כרוכה מעצם טיבה בפגיעה בפרטיות ובשאלות שנוגעות לקשר המיני בכלל ולשאלת ההסכמה בפרט. כאשר זהו הקשר הדברים, גם אם נקבע לגבי חלק מהשאלות שנשאלו כי הן חורגות מגדר הסביר והנדרש לצרכי החקירה, איני סבורה כי הדברים עולים כדי הטרדה מינית כמשמעה בחוק למניעת הטרדה מינית. מכל מקום נוכח מסקנתי כי השאלות שנשאלו מעבר לנדרש לצרכי החקירה, מהוות חריגה מסטנדרט הזהירות הסביר באופן שמקים לתובעות עילת תביעה בנזיקין, לא ראיתי להרחיב בדברים.</w:t>
      </w:r>
    </w:p>
    <w:p w:rsidR="00B01C7F" w:rsidRDefault="00B01C7F" w:rsidP="00F64F24">
      <w:pPr>
        <w:pStyle w:val="af0"/>
        <w:spacing w:after="0" w:line="360" w:lineRule="auto"/>
        <w:ind w:left="357"/>
        <w:jc w:val="both"/>
        <w:rPr>
          <w:rFonts w:ascii="David" w:hAnsi="David" w:cs="David"/>
          <w:sz w:val="24"/>
          <w:szCs w:val="24"/>
          <w:rtl/>
        </w:rPr>
      </w:pPr>
    </w:p>
    <w:p w:rsidR="00B01C7F" w:rsidRDefault="00B01C7F" w:rsidP="00B01C7F">
      <w:pPr>
        <w:spacing w:line="360" w:lineRule="auto"/>
        <w:ind w:firstLine="357"/>
        <w:rPr>
          <w:rFonts w:ascii="David" w:hAnsi="David"/>
          <w:b/>
          <w:bCs/>
          <w:rtl/>
        </w:rPr>
      </w:pPr>
      <w:r>
        <w:rPr>
          <w:rFonts w:ascii="David" w:hAnsi="David"/>
          <w:b/>
          <w:bCs/>
          <w:rtl/>
        </w:rPr>
        <w:t>הנזק</w:t>
      </w:r>
    </w:p>
    <w:p w:rsidR="00B01C7F" w:rsidRDefault="00B01C7F" w:rsidP="00B01C7F">
      <w:pPr>
        <w:pStyle w:val="af0"/>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התובעות טוענות כי כתוצאה מהתנהלותם של חוקרי הנתבעת, נגרמו להן נזקים קשים שכללו בין היתר עוגמת נפש קשה, פגיעה חריפה באוטונומיה, חדירה דורסנית למרחב האינטימי ביותר, ביזוי והשפלה, חוסר יכולת ליצור מערכות קשרים בין אישיות מפאת הפוסט טראומה שנוצרה אצלן, חרדות, פחדים קשים ותחושת החפצה נוראית. </w:t>
      </w:r>
    </w:p>
    <w:p w:rsidR="00B01C7F" w:rsidRDefault="00B01C7F" w:rsidP="00B01C7F">
      <w:pPr>
        <w:spacing w:line="360" w:lineRule="auto"/>
        <w:ind w:left="357"/>
        <w:rPr>
          <w:rFonts w:ascii="David" w:hAnsi="David"/>
          <w:rtl/>
        </w:rPr>
      </w:pPr>
      <w:r>
        <w:rPr>
          <w:rFonts w:ascii="David" w:hAnsi="David"/>
          <w:rtl/>
        </w:rPr>
        <w:t xml:space="preserve">וביתר פירוט: </w:t>
      </w:r>
    </w:p>
    <w:p w:rsidR="00B01C7F" w:rsidRDefault="00B01C7F" w:rsidP="00B01C7F">
      <w:pPr>
        <w:spacing w:line="360" w:lineRule="auto"/>
        <w:ind w:left="357"/>
        <w:jc w:val="both"/>
        <w:rPr>
          <w:rFonts w:ascii="David" w:hAnsi="David"/>
          <w:rtl/>
        </w:rPr>
      </w:pPr>
      <w:r>
        <w:rPr>
          <w:rFonts w:ascii="David" w:hAnsi="David"/>
          <w:rtl/>
        </w:rPr>
        <w:t>התובעת 1 טוענת כי היא יצאה מהחקירה הארוכה והמביכה כשהיא רועדת, מפוחדת ומאוימת. לאחר החקירה היא חשה חרדות וצירים מוקדמים ונאלצה, בהוראת רופא, להיכנס לשמירת הריון. עוד נטען כי על רקע גל שמועות ולאחר שנחשפה לאמירות מרושעות מצד שוטרים במקום עבודתה, היא נאלצה לעבור לתפקיד אחר ולהעתיק את מקום מגוריה.</w:t>
      </w:r>
    </w:p>
    <w:p w:rsidR="00B01C7F" w:rsidRDefault="00B01C7F" w:rsidP="00F64F24">
      <w:pPr>
        <w:spacing w:after="160" w:line="360" w:lineRule="auto"/>
        <w:ind w:left="357"/>
        <w:jc w:val="both"/>
        <w:rPr>
          <w:rFonts w:ascii="David" w:hAnsi="David"/>
          <w:rtl/>
        </w:rPr>
      </w:pPr>
      <w:r>
        <w:rPr>
          <w:rFonts w:ascii="David" w:hAnsi="David"/>
          <w:rtl/>
        </w:rPr>
        <w:t xml:space="preserve">התובעת 2 טוענת כי לאחר חקירה ארוכה של למעלה מ - 10 שעות היא נותרה המומה, בוכייה ורועדת, עד כדי חוסר יכולת לעמוד על רגליה וכי תחושות הביזוי וההשפלה נטועות בתוככי נפשה עד היום ומציפות אותה בכל עת. </w:t>
      </w:r>
    </w:p>
    <w:p w:rsidR="00F64F24" w:rsidRDefault="00F64F24" w:rsidP="00F64F24">
      <w:pPr>
        <w:spacing w:line="360" w:lineRule="auto"/>
        <w:ind w:left="357"/>
        <w:jc w:val="both"/>
        <w:rPr>
          <w:rFonts w:ascii="David" w:hAnsi="David"/>
          <w:rtl/>
        </w:rPr>
      </w:pPr>
    </w:p>
    <w:p w:rsidR="00F64F24" w:rsidRDefault="00F64F24" w:rsidP="00F64F24">
      <w:pPr>
        <w:spacing w:line="360" w:lineRule="auto"/>
        <w:ind w:left="357"/>
        <w:jc w:val="both"/>
        <w:rPr>
          <w:rFonts w:ascii="David" w:hAnsi="David"/>
          <w:rtl/>
        </w:rPr>
      </w:pPr>
    </w:p>
    <w:p w:rsidR="00F64F24" w:rsidRDefault="00F64F24" w:rsidP="00F64F24">
      <w:pPr>
        <w:spacing w:line="360" w:lineRule="auto"/>
        <w:ind w:left="357"/>
        <w:jc w:val="both"/>
        <w:rPr>
          <w:rFonts w:ascii="David" w:hAnsi="David"/>
          <w:rtl/>
        </w:rPr>
      </w:pPr>
    </w:p>
    <w:p w:rsidR="00F64F24" w:rsidRDefault="00F64F24" w:rsidP="00F64F24">
      <w:pPr>
        <w:spacing w:line="360" w:lineRule="auto"/>
        <w:ind w:left="357"/>
        <w:jc w:val="both"/>
        <w:rPr>
          <w:rFonts w:ascii="David" w:hAnsi="David"/>
          <w:rtl/>
        </w:rPr>
      </w:pPr>
    </w:p>
    <w:p w:rsidR="00B01C7F" w:rsidRDefault="00B01C7F" w:rsidP="00B01C7F">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הנתבעת טוענת כי התובעות לא הוכיחו שנגרם להן נזק בגין התנהלות חוקרי מח"ש. התובעות לא הגישו חוות דעת רפואיות ולא הביאו כל ראיה לנזקים הנטענים. בנסיבות אלה, לא היה מקום להגשת התביעה לבית המשפט המחוזי. זאת ועוד, חרף טענותיהן כי הן עברו חוויה טראומטית, התובעות הסכימו לחשיפת קלטות החקירה הכוללת פרטים אינטימיים בתכנית תחקירים בטלוויזיה והתראיינו בקולן לתוכנית זו ובכך, דאגו בעצמן, ובסיוע של שחם, לפרסום נרחב של החקירה לכל בית ישראל, מה שאינו מתיישב עם טענתן כי נגרם להן נזק בגין החקירה. </w:t>
      </w:r>
    </w:p>
    <w:p w:rsidR="00F64F24" w:rsidRDefault="00F64F24" w:rsidP="00F64F24">
      <w:pPr>
        <w:pStyle w:val="af0"/>
        <w:spacing w:after="0" w:line="360" w:lineRule="auto"/>
        <w:ind w:left="357"/>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אשר לחשיפת קלטות החקירה בתכנית תחקירים בטלוויזיה ובכתבה עיתונאית, התובעות העידו כי זהותן לא נחשפה ולא גולו פרטים מזהים כלשהם (עדות התובעת 1 עמ' 35-32 לפרוטוקול, עדות התובעת 2 בעמ' 85-82 לפרוטוקול). התובעת 1 אף הוסיפה והעידה כי הסכמתה לשתף פעולה  עם תכנית התחקירים נבעה מרצון להציף את הדברים ולעמוד על זכויותיה  בגין הפגיעה שנגרמה לה  זאת כחלק  מתהליך של ריפוי עצמי, וכדבריה:</w:t>
      </w:r>
      <w:r>
        <w:rPr>
          <w:rFonts w:ascii="David" w:hAnsi="David" w:cs="David"/>
          <w:b/>
          <w:bCs/>
          <w:sz w:val="24"/>
          <w:szCs w:val="24"/>
          <w:rtl/>
        </w:rPr>
        <w:t xml:space="preserve"> "... פשוט עברתי ביום הזה אונס, אונס קבוצתי... חוץ מזה שאני באה באמת להראות מה נעשה ואיזה עוול והנזקים שגרמתם... אז אני גם באיזשהו תהליך ריפוי לעצמי... " </w:t>
      </w:r>
      <w:r>
        <w:rPr>
          <w:rFonts w:ascii="David" w:hAnsi="David" w:cs="David"/>
          <w:sz w:val="24"/>
          <w:szCs w:val="24"/>
          <w:rtl/>
        </w:rPr>
        <w:t xml:space="preserve">(עמ' 35 לפרוטוקול). </w:t>
      </w:r>
    </w:p>
    <w:p w:rsidR="00B01C7F" w:rsidRDefault="00B01C7F" w:rsidP="00B01C7F">
      <w:pPr>
        <w:spacing w:line="360" w:lineRule="auto"/>
        <w:ind w:firstLine="357"/>
        <w:rPr>
          <w:rFonts w:ascii="David" w:hAnsi="David"/>
          <w:b/>
          <w:bCs/>
        </w:rPr>
      </w:pPr>
    </w:p>
    <w:p w:rsidR="00B01C7F" w:rsidRDefault="00B01C7F" w:rsidP="00B01C7F">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בהערכת הנזק ראיתי להתחשב בכך שמדובר היה בחקירה שעמד ביסודה אינטרס ציבורי חשוב. כן ראיתי להביא בחשבון כי מטבע הדברים מדובר בחקירה מביכה שכרוכה בפגיעה בפרטיותה של כל אחת מהתובעות. הערכת הנזק ופסיקת הפיצויים מתייחסת אם כן רק לעגמת הנפש היתרה שנגרמה בשל הפגיעה בכבודן ובפרטיותן של התובעות בגין אותן שאלות מיותרות שלא נדרשו באורח סביר למטרות החקירה, להבדיל מעגמת הנפש הכרוכה באופן טבעי בחקירה מסוג זה.</w:t>
      </w:r>
    </w:p>
    <w:p w:rsidR="00F64F24" w:rsidRDefault="00F64F24" w:rsidP="00F64F24">
      <w:pPr>
        <w:pStyle w:val="af0"/>
        <w:spacing w:after="0" w:line="360" w:lineRule="auto"/>
        <w:ind w:left="357"/>
        <w:jc w:val="both"/>
        <w:rPr>
          <w:rFonts w:ascii="David" w:hAnsi="David" w:cs="David"/>
          <w:sz w:val="24"/>
          <w:szCs w:val="24"/>
          <w:rtl/>
        </w:rPr>
      </w:pPr>
    </w:p>
    <w:p w:rsidR="00B01C7F" w:rsidRDefault="00B01C7F" w:rsidP="00B01C7F">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התובעות לא הגישו חוות דעת שברפואה כך שלא הוכחה כל טענה לנזק גוף. </w:t>
      </w:r>
    </w:p>
    <w:p w:rsidR="00F64F24" w:rsidRPr="00F64F24" w:rsidRDefault="00F64F24" w:rsidP="00F64F24">
      <w:pPr>
        <w:pStyle w:val="af0"/>
        <w:rPr>
          <w:rFonts w:ascii="David" w:hAnsi="David" w:cs="David"/>
          <w:sz w:val="24"/>
          <w:szCs w:val="24"/>
          <w:rtl/>
        </w:rPr>
      </w:pPr>
    </w:p>
    <w:p w:rsidR="00B01C7F" w:rsidRDefault="00B01C7F" w:rsidP="00B01C7F">
      <w:pPr>
        <w:pStyle w:val="af0"/>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אשר להערכת הפיצוי בגין הנזק הלא ממוני - עגמת נפש, זה נגזר מעוצמת הפגיעה הלא מידתית בערכים המוגנים של שמירה על כבודה ופרטיותה של כל אחת מהתובעות שכזכור נחקרו כעדות ולא כחשודות, זאת מעבר לפגיעה האינהרנטית שכרוכה מטבע הדברים בחקירה מסוג זה. </w:t>
      </w:r>
    </w:p>
    <w:p w:rsidR="00B01C7F" w:rsidRDefault="00B01C7F" w:rsidP="00B01C7F">
      <w:pPr>
        <w:pStyle w:val="af0"/>
        <w:spacing w:after="0" w:line="360" w:lineRule="auto"/>
        <w:ind w:left="357"/>
        <w:jc w:val="both"/>
        <w:rPr>
          <w:rFonts w:ascii="David" w:hAnsi="David" w:cs="David"/>
          <w:sz w:val="24"/>
          <w:szCs w:val="24"/>
        </w:rPr>
      </w:pPr>
      <w:r>
        <w:rPr>
          <w:rFonts w:ascii="David" w:hAnsi="David" w:cs="David"/>
          <w:sz w:val="24"/>
          <w:szCs w:val="24"/>
          <w:rtl/>
        </w:rPr>
        <w:t xml:space="preserve">בהקשר זה ראיתי להפנות לפסק הדין בעניין </w:t>
      </w:r>
      <w:r>
        <w:rPr>
          <w:rFonts w:ascii="David" w:hAnsi="David" w:cs="David"/>
          <w:b/>
          <w:bCs/>
          <w:sz w:val="24"/>
          <w:szCs w:val="24"/>
          <w:rtl/>
        </w:rPr>
        <w:t>שובר</w:t>
      </w:r>
      <w:r>
        <w:rPr>
          <w:rFonts w:ascii="David" w:hAnsi="David" w:cs="David"/>
          <w:sz w:val="24"/>
          <w:szCs w:val="24"/>
          <w:rtl/>
        </w:rPr>
        <w:t xml:space="preserve"> שם נפסק, בדעת הרוב, פיצוי בסכום של 200,000 ₪, בגין נזק לא ממוני שנגרם למי שנחקר כחשוד בעבירות מין בשל אלימות ואיומים שננקטו נגדו במהלך מעצרו וחקירתו. </w:t>
      </w:r>
    </w:p>
    <w:p w:rsidR="00B01C7F" w:rsidRDefault="00B01C7F" w:rsidP="00B01C7F">
      <w:pPr>
        <w:pStyle w:val="af0"/>
        <w:spacing w:line="360" w:lineRule="auto"/>
        <w:ind w:left="357"/>
        <w:jc w:val="both"/>
        <w:rPr>
          <w:rFonts w:ascii="David" w:hAnsi="David" w:cs="David"/>
          <w:sz w:val="24"/>
          <w:szCs w:val="24"/>
          <w:rtl/>
        </w:rPr>
      </w:pPr>
      <w:r>
        <w:rPr>
          <w:rFonts w:ascii="David" w:hAnsi="David" w:cs="David"/>
          <w:sz w:val="24"/>
          <w:szCs w:val="24"/>
          <w:rtl/>
        </w:rPr>
        <w:t>כן ראיתי להתחשב בהערכת הנזק ופסיקת הפיצויים, בהתנהלותה של כל אחת מהתובעות ושיתוף הפעולה בחקירה ובעוצמת הפגיעה בהתחשב בתוכנן והיקפן של השאלות המיותרות שנשאלו בחקירה.</w:t>
      </w:r>
    </w:p>
    <w:p w:rsidR="00F64F24" w:rsidRDefault="00F64F24" w:rsidP="00B01C7F">
      <w:pPr>
        <w:pStyle w:val="af0"/>
        <w:spacing w:line="360" w:lineRule="auto"/>
        <w:ind w:left="357"/>
        <w:jc w:val="both"/>
        <w:rPr>
          <w:rFonts w:ascii="David" w:hAnsi="David" w:cs="David"/>
          <w:sz w:val="24"/>
          <w:szCs w:val="24"/>
          <w:rtl/>
        </w:rPr>
      </w:pPr>
    </w:p>
    <w:p w:rsidR="00B01C7F" w:rsidRDefault="00B01C7F" w:rsidP="00F64F24">
      <w:pPr>
        <w:pStyle w:val="af0"/>
        <w:numPr>
          <w:ilvl w:val="0"/>
          <w:numId w:val="1"/>
        </w:numPr>
        <w:spacing w:line="360" w:lineRule="auto"/>
        <w:ind w:left="357" w:hanging="357"/>
        <w:jc w:val="both"/>
        <w:rPr>
          <w:rFonts w:ascii="David" w:hAnsi="David" w:cs="David"/>
          <w:sz w:val="24"/>
          <w:szCs w:val="24"/>
          <w:rtl/>
        </w:rPr>
      </w:pPr>
      <w:r>
        <w:rPr>
          <w:rFonts w:ascii="David" w:hAnsi="David" w:cs="David"/>
          <w:b/>
          <w:bCs/>
          <w:sz w:val="24"/>
          <w:szCs w:val="24"/>
          <w:rtl/>
        </w:rPr>
        <w:t>אשר לתובעת 1</w:t>
      </w:r>
      <w:r>
        <w:rPr>
          <w:rFonts w:ascii="David" w:hAnsi="David" w:cs="David"/>
          <w:sz w:val="24"/>
          <w:szCs w:val="24"/>
          <w:rtl/>
        </w:rPr>
        <w:t xml:space="preserve"> - התובעת 1 לא שיתפה פעולה עם החקירה וניסתה להסתיר את הקשר המיני שהיה בינה לבין שחם, שאותו הגדירה בתחילת החקירה כקשר חברי גרידא, זאת בניגוד לחובתה לומר אמת ולשתף פעולה עם חקירת מח"ש. כאמור, התנהלותה זו של התובעת תרמה במידה רבה להארכת משך החקירה. </w:t>
      </w:r>
    </w:p>
    <w:p w:rsidR="00B01C7F" w:rsidRDefault="00B01C7F" w:rsidP="00B01C7F">
      <w:pPr>
        <w:spacing w:line="360" w:lineRule="auto"/>
        <w:ind w:left="357"/>
        <w:jc w:val="both"/>
        <w:rPr>
          <w:rFonts w:ascii="David" w:hAnsi="David"/>
        </w:rPr>
      </w:pPr>
      <w:r>
        <w:rPr>
          <w:rFonts w:ascii="David" w:hAnsi="David"/>
          <w:rtl/>
        </w:rPr>
        <w:t>טענת התובעת לנזקים שנגרמו לה  עקב שמועות בדבר יחסיה עם שחם, אינה יכולה להתקבל. ראשית, התובעת מסרה כבר בתחילת החקירה שיש שמועות לגבי הקשר שלה עם שחם. שנית, לא הוכח כי אותן שמועות הופצו בשל התנהגות עוולתית של חוקרי מח"ש.</w:t>
      </w:r>
    </w:p>
    <w:p w:rsidR="00B01C7F" w:rsidRDefault="00B01C7F" w:rsidP="00B01C7F">
      <w:pPr>
        <w:spacing w:line="360" w:lineRule="auto"/>
        <w:ind w:left="357"/>
        <w:jc w:val="both"/>
        <w:rPr>
          <w:rFonts w:ascii="David" w:hAnsi="David"/>
          <w:rtl/>
        </w:rPr>
      </w:pPr>
      <w:r>
        <w:rPr>
          <w:rFonts w:ascii="David" w:hAnsi="David"/>
          <w:rtl/>
        </w:rPr>
        <w:t>מקובל עלי כי לתובעת נגרמה עגמת נפש משמעותית בגין אותן שאלות פולשניות מיותרות שהיא נשאלה לגבי פרטי הקשר המיני זאת לאחר שהבהירה כי לא נעשה דבר שלא בהסכמתה ובגין הלחץ שהופעל עליה להשיב על שאלות מיותרות אלה .</w:t>
      </w:r>
    </w:p>
    <w:p w:rsidR="00B01C7F" w:rsidRDefault="00B01C7F" w:rsidP="00F64F24">
      <w:pPr>
        <w:spacing w:after="160" w:line="360" w:lineRule="auto"/>
        <w:ind w:left="357"/>
        <w:jc w:val="both"/>
        <w:rPr>
          <w:rFonts w:ascii="David" w:hAnsi="David"/>
          <w:rtl/>
        </w:rPr>
      </w:pPr>
      <w:r>
        <w:rPr>
          <w:rFonts w:ascii="David" w:hAnsi="David"/>
          <w:rtl/>
        </w:rPr>
        <w:t xml:space="preserve">בהתחשב במכלול השיקולים האמורים ובהתחשב בהיקף השאלות המיותרות ביחס לכלל החקירה, ראיתי להעריך את הפיצוי בגין הנזק הלא ממוני שנגרם לתובעת 1 בגין אותם חלקים בחקירה שכללו פגיעה לא מידתית בפרטיותה ובכבודה, בסכום של 80,000 ₪, בערכי היום. </w:t>
      </w:r>
    </w:p>
    <w:p w:rsidR="00F64F24" w:rsidRDefault="00F64F24" w:rsidP="00F64F24">
      <w:pPr>
        <w:spacing w:line="360" w:lineRule="auto"/>
        <w:ind w:left="357"/>
        <w:jc w:val="both"/>
        <w:rPr>
          <w:rFonts w:ascii="David" w:hAnsi="David"/>
          <w:rtl/>
        </w:rPr>
      </w:pPr>
    </w:p>
    <w:p w:rsidR="00B01C7F" w:rsidRDefault="00B01C7F" w:rsidP="00B01C7F">
      <w:pPr>
        <w:pStyle w:val="af0"/>
        <w:numPr>
          <w:ilvl w:val="0"/>
          <w:numId w:val="1"/>
        </w:numPr>
        <w:spacing w:after="0" w:line="360" w:lineRule="auto"/>
        <w:ind w:left="357" w:hanging="357"/>
        <w:jc w:val="both"/>
        <w:rPr>
          <w:rFonts w:ascii="David" w:hAnsi="David" w:cs="David"/>
          <w:sz w:val="24"/>
          <w:szCs w:val="24"/>
          <w:rtl/>
        </w:rPr>
      </w:pPr>
      <w:r>
        <w:rPr>
          <w:rFonts w:ascii="David" w:hAnsi="David" w:cs="David"/>
          <w:b/>
          <w:bCs/>
          <w:sz w:val="24"/>
          <w:szCs w:val="24"/>
          <w:rtl/>
        </w:rPr>
        <w:t>אשר לתובעת</w:t>
      </w:r>
      <w:r>
        <w:rPr>
          <w:rFonts w:ascii="David" w:hAnsi="David" w:cs="David"/>
          <w:sz w:val="24"/>
          <w:szCs w:val="24"/>
          <w:rtl/>
        </w:rPr>
        <w:t xml:space="preserve"> </w:t>
      </w:r>
      <w:r>
        <w:rPr>
          <w:rFonts w:ascii="David" w:hAnsi="David" w:cs="David"/>
          <w:b/>
          <w:bCs/>
          <w:sz w:val="24"/>
          <w:szCs w:val="24"/>
          <w:rtl/>
        </w:rPr>
        <w:t xml:space="preserve">2 </w:t>
      </w:r>
      <w:r>
        <w:rPr>
          <w:rFonts w:ascii="David" w:hAnsi="David" w:cs="David"/>
          <w:sz w:val="24"/>
          <w:szCs w:val="24"/>
          <w:rtl/>
        </w:rPr>
        <w:t xml:space="preserve">- התובעת 2 הבהירה כבר בתחילת החקירה כי מדובר היה קשר אינטימי - מיני בהסכמה, וחזרה והבהירה בצורה מפורשת שלא נעשה דבר בניגוד לרצונה או שלא בהסכמתה. נוכח עדותה המפורשת של התובעת, השאלות הרבות שנשאלו בצורה בוטה, פולשנית ומשפילה אודות פרטי הקשר המיני תוך ירידה לתיאורים פלסטיים מפורטים, היו מיותרות ובלתי רלוונטיות לצרכי החקירה וגרמו להארכת החקירה שלא לצורך. להבדיל מהדרישה כי התובעת תדייק בשאלת המועדים והנסיבות שבהם התקיימו המפגשים המיניים שהיתה מוצדקת ורלוונטית לצרכי החקירה, לא היתה כל הצדקה לשוב ולדרוש מהתובעת להשיב על שאלות הנוגעות לפרטי הקשר המיני תוך איומים מפורשים או משתמעים לעבור לחקירה באזהרה או כי התובעת מסכנת את מקום עבודתה. </w:t>
      </w:r>
    </w:p>
    <w:p w:rsidR="00B01C7F" w:rsidRDefault="00B01C7F" w:rsidP="00F64F24">
      <w:pPr>
        <w:pStyle w:val="af0"/>
        <w:spacing w:line="360" w:lineRule="auto"/>
        <w:ind w:left="357"/>
        <w:jc w:val="both"/>
        <w:rPr>
          <w:rFonts w:ascii="David" w:hAnsi="David" w:cs="David"/>
          <w:sz w:val="24"/>
          <w:szCs w:val="24"/>
        </w:rPr>
      </w:pPr>
      <w:r>
        <w:rPr>
          <w:rFonts w:ascii="David" w:hAnsi="David" w:cs="David"/>
          <w:sz w:val="24"/>
          <w:szCs w:val="24"/>
          <w:rtl/>
        </w:rPr>
        <w:t xml:space="preserve">בנסיבות העניין, בהתחשב בהיקף השאלות המיותרות ביחס לכלל החקירה, ראיתי להעריך את הפיצוי בגין הנזק הלא ממוני שנגרם לתובעת 2 בשל אותם חלקים ארוכים ומיותרים בחקירה שבגינם נגרמה פגיעה לא מידתית בזכותה לפרטיות, לכבוד ולשמירה על האוטונומיה, בסכום של 150,000 ₪. </w:t>
      </w:r>
    </w:p>
    <w:p w:rsidR="00B01C7F" w:rsidRDefault="00B01C7F" w:rsidP="00B01C7F">
      <w:pPr>
        <w:pStyle w:val="af0"/>
        <w:spacing w:after="0" w:line="360" w:lineRule="auto"/>
        <w:ind w:left="357"/>
        <w:jc w:val="both"/>
        <w:rPr>
          <w:rFonts w:ascii="David" w:hAnsi="David" w:cs="David"/>
          <w:sz w:val="24"/>
          <w:szCs w:val="24"/>
        </w:rPr>
      </w:pPr>
    </w:p>
    <w:p w:rsidR="00B01C7F" w:rsidRDefault="00B01C7F" w:rsidP="00B01C7F">
      <w:pPr>
        <w:spacing w:line="360" w:lineRule="auto"/>
        <w:ind w:left="357"/>
        <w:rPr>
          <w:rFonts w:ascii="David" w:hAnsi="David"/>
          <w:b/>
          <w:bCs/>
          <w:rtl/>
        </w:rPr>
      </w:pPr>
      <w:r>
        <w:rPr>
          <w:rFonts w:ascii="David" w:hAnsi="David"/>
          <w:b/>
          <w:bCs/>
          <w:rtl/>
        </w:rPr>
        <w:t>הערות לפני סיום</w:t>
      </w:r>
    </w:p>
    <w:p w:rsidR="00B01C7F" w:rsidRDefault="00B01C7F" w:rsidP="00F64F24">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הצדדים הפליגו בסיכומיהם לדיון בשאלות שחורגות מגדר בחינת נאותות חקירתה של כל אחת מהתובעות. בכלל זה התובעות התייחסו לסיבות שעל-פי סברתן הובילו לניהול החקירה בדרך שבה נוהלה. הנתבעת מצדה טענה טענות ביחס לאירועים שהתרחשו לאחר הגשת כתב האישום לרבות התנהלותו של שחם והקשר שבינו לבין התובעות בתקופת ניהול ההליך הפלילי ובנוגע </w:t>
      </w:r>
      <w:r>
        <w:rPr>
          <w:rFonts w:ascii="David" w:hAnsi="David" w:cs="David"/>
          <w:sz w:val="24"/>
          <w:szCs w:val="24"/>
          <w:rtl/>
        </w:rPr>
        <w:lastRenderedPageBreak/>
        <w:t>להגשת התביעה דנן. איני סבורה כי טענות אלה נדרשות להכרעה בתביעה שמתמקדת כאמור בבחינת נאותות חקירתה של כל אחת מהתובעות, על כן לא ראיתי להתייחס אליהן.</w:t>
      </w:r>
    </w:p>
    <w:p w:rsidR="00B01C7F" w:rsidRDefault="00B01C7F" w:rsidP="00B01C7F">
      <w:pPr>
        <w:pStyle w:val="af0"/>
        <w:spacing w:after="0" w:line="360" w:lineRule="auto"/>
        <w:ind w:left="357"/>
        <w:jc w:val="both"/>
        <w:rPr>
          <w:rFonts w:ascii="David" w:hAnsi="David" w:cs="David"/>
          <w:sz w:val="24"/>
          <w:szCs w:val="24"/>
        </w:rPr>
      </w:pPr>
    </w:p>
    <w:p w:rsidR="00B01C7F" w:rsidRDefault="00B01C7F" w:rsidP="00F64F24">
      <w:pPr>
        <w:pStyle w:val="af0"/>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גם בהתחשב בתחושת הפגיעה הסובייקטיבית שהתובעות חשות, תחושה שנובעת בחלקה מעצם החקירה בנושא הקשר המיני שהן ניהלו עם שחם, ומבלי למעט מהחשיבות של בירור טענותיהן בדבר פגיעה לא מידתית בזכויותיהן כמי שנחקרו כעדות בפרשה, הרי שלאור סכומי הפיצויים המקובלים בפסיקה בגין נזק לא ממוני, לא היתה הצדקה להגשת התביעה לבית המשפט המחוזי תוך העמדת סכום הפיצויים הנדרש על סכום של 3,000,000 ₪. הדבר יובא בחשבון במסגרת פסיקת ההוצאות. </w:t>
      </w:r>
    </w:p>
    <w:p w:rsidR="00B01C7F" w:rsidRDefault="00B01C7F" w:rsidP="00B01C7F">
      <w:pPr>
        <w:pStyle w:val="af0"/>
        <w:spacing w:after="0" w:line="360" w:lineRule="auto"/>
        <w:ind w:left="357"/>
        <w:jc w:val="both"/>
        <w:rPr>
          <w:rFonts w:ascii="David" w:hAnsi="David" w:cs="David"/>
          <w:sz w:val="24"/>
          <w:szCs w:val="24"/>
          <w:rtl/>
        </w:rPr>
      </w:pPr>
    </w:p>
    <w:p w:rsidR="00B01C7F" w:rsidRDefault="00B01C7F" w:rsidP="00B01C7F">
      <w:pPr>
        <w:spacing w:line="360" w:lineRule="auto"/>
        <w:ind w:left="357"/>
        <w:rPr>
          <w:rFonts w:ascii="David" w:hAnsi="David"/>
          <w:b/>
          <w:bCs/>
          <w:rtl/>
        </w:rPr>
      </w:pPr>
      <w:r>
        <w:rPr>
          <w:rFonts w:ascii="David" w:hAnsi="David"/>
          <w:b/>
          <w:bCs/>
          <w:rtl/>
        </w:rPr>
        <w:t>סיכום</w:t>
      </w:r>
    </w:p>
    <w:p w:rsidR="00B01C7F" w:rsidRDefault="00B01C7F" w:rsidP="00B01C7F">
      <w:pPr>
        <w:pStyle w:val="af0"/>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מהנימוקים המפורטים ראיתי לקבל את התביעה בחלקה ולחייב את הנתבעת לשלם לתובעות את הסכומים הבאים:</w:t>
      </w:r>
    </w:p>
    <w:p w:rsidR="00B01C7F" w:rsidRDefault="00B01C7F" w:rsidP="00B01C7F">
      <w:pPr>
        <w:spacing w:line="360" w:lineRule="auto"/>
        <w:ind w:left="357"/>
        <w:jc w:val="both"/>
        <w:rPr>
          <w:rFonts w:ascii="David" w:hAnsi="David"/>
        </w:rPr>
      </w:pPr>
      <w:r>
        <w:rPr>
          <w:rFonts w:ascii="David" w:hAnsi="David"/>
          <w:rtl/>
        </w:rPr>
        <w:t>לתובעת 1 סכום של 80,000 ₪.</w:t>
      </w:r>
    </w:p>
    <w:p w:rsidR="00B01C7F" w:rsidRDefault="00B01C7F" w:rsidP="00B01C7F">
      <w:pPr>
        <w:spacing w:line="360" w:lineRule="auto"/>
        <w:ind w:left="357"/>
        <w:jc w:val="both"/>
        <w:rPr>
          <w:rFonts w:ascii="David" w:hAnsi="David"/>
          <w:rtl/>
        </w:rPr>
      </w:pPr>
      <w:r>
        <w:rPr>
          <w:rFonts w:ascii="David" w:hAnsi="David"/>
          <w:rtl/>
        </w:rPr>
        <w:t>לתובעת 2 סכום של 150,000 ₪.</w:t>
      </w:r>
    </w:p>
    <w:p w:rsidR="00B01C7F" w:rsidRDefault="00B01C7F" w:rsidP="00425D64">
      <w:pPr>
        <w:spacing w:line="360" w:lineRule="auto"/>
        <w:ind w:left="357"/>
        <w:jc w:val="both"/>
        <w:rPr>
          <w:rFonts w:ascii="David" w:hAnsi="David"/>
          <w:rtl/>
        </w:rPr>
      </w:pPr>
      <w:r>
        <w:rPr>
          <w:rFonts w:ascii="David" w:hAnsi="David"/>
          <w:rtl/>
        </w:rPr>
        <w:t>על הסכומים האמורים יתווס</w:t>
      </w:r>
      <w:r w:rsidR="00425D64">
        <w:rPr>
          <w:rFonts w:ascii="David" w:hAnsi="David" w:hint="cs"/>
          <w:rtl/>
        </w:rPr>
        <w:t>ף</w:t>
      </w:r>
      <w:r>
        <w:rPr>
          <w:rFonts w:ascii="David" w:hAnsi="David"/>
          <w:rtl/>
        </w:rPr>
        <w:t xml:space="preserve"> שכ"ט עו"ד בסכום כולל של 50,000 ₪ (לשתי התובעות ביחד ולחוד), וסכום האגרה היחסי בהתאם לסכום הפיצויים שנפסק בצירוף הפרשי הצמדה וריבית חוקית ממועד התשלום ועד ליום פסק הדין.</w:t>
      </w:r>
    </w:p>
    <w:p w:rsidR="00B01C7F" w:rsidRDefault="00B01C7F" w:rsidP="00F64F24">
      <w:pPr>
        <w:spacing w:after="160" w:line="360" w:lineRule="auto"/>
        <w:ind w:left="357"/>
        <w:jc w:val="both"/>
        <w:rPr>
          <w:rFonts w:ascii="David" w:hAnsi="David"/>
          <w:rtl/>
        </w:rPr>
      </w:pPr>
      <w:r>
        <w:rPr>
          <w:rFonts w:ascii="David" w:hAnsi="David"/>
          <w:rtl/>
        </w:rPr>
        <w:t>הסכומים האמורים ישולמו תוך 45 יום מהיום שאם לא כן ישאו הפרשי הצמדה וריבית חוקית ממועד פסק הדין ועד מועד התשלום בפועל.</w:t>
      </w:r>
    </w:p>
    <w:p w:rsidR="00B01C7F" w:rsidRPr="00425D64" w:rsidRDefault="00B01C7F" w:rsidP="00425D64">
      <w:pPr>
        <w:pStyle w:val="af0"/>
        <w:numPr>
          <w:ilvl w:val="0"/>
          <w:numId w:val="1"/>
        </w:numPr>
        <w:spacing w:line="360" w:lineRule="auto"/>
        <w:jc w:val="both"/>
        <w:rPr>
          <w:rFonts w:ascii="David" w:hAnsi="David" w:cs="David"/>
          <w:sz w:val="24"/>
          <w:szCs w:val="24"/>
          <w:rtl/>
        </w:rPr>
      </w:pPr>
      <w:r w:rsidRPr="00425D64">
        <w:rPr>
          <w:rFonts w:ascii="David" w:hAnsi="David" w:cs="David"/>
          <w:sz w:val="24"/>
          <w:szCs w:val="24"/>
          <w:rtl/>
        </w:rPr>
        <w:t>פסק הדין ניתן לפרסום ללא פרטים מזהים.</w:t>
      </w:r>
    </w:p>
    <w:p w:rsidR="00694556" w:rsidRPr="00C770E3" w:rsidRDefault="00694556">
      <w:pPr>
        <w:spacing w:line="360" w:lineRule="auto"/>
        <w:jc w:val="both"/>
        <w:rPr>
          <w:rFonts w:ascii="Arial" w:hAnsi="Arial"/>
          <w:rtl/>
        </w:rPr>
      </w:pPr>
    </w:p>
    <w:p w:rsidR="00694556" w:rsidRPr="00425D64" w:rsidRDefault="0043502B" w:rsidP="00F64F24">
      <w:pPr>
        <w:spacing w:line="360" w:lineRule="auto"/>
        <w:jc w:val="both"/>
        <w:rPr>
          <w:rFonts w:ascii="Arial" w:hAnsi="Arial"/>
          <w:b/>
          <w:bCs/>
          <w:rtl/>
        </w:rPr>
      </w:pPr>
      <w:r w:rsidRPr="00425D64">
        <w:rPr>
          <w:rFonts w:ascii="Arial" w:hAnsi="Arial"/>
          <w:b/>
          <w:bCs/>
          <w:rtl/>
        </w:rPr>
        <w:t>נית</w:t>
      </w:r>
      <w:r w:rsidR="00860102" w:rsidRPr="00425D64">
        <w:rPr>
          <w:rFonts w:ascii="Arial" w:hAnsi="Arial" w:hint="cs"/>
          <w:b/>
          <w:bCs/>
          <w:rtl/>
        </w:rPr>
        <w:t>ן</w:t>
      </w:r>
      <w:r w:rsidR="00005C8B" w:rsidRPr="00425D64">
        <w:rPr>
          <w:rFonts w:ascii="Arial" w:hAnsi="Arial"/>
          <w:b/>
          <w:bCs/>
          <w:rtl/>
        </w:rPr>
        <w:t xml:space="preserve"> היום, </w:t>
      </w:r>
      <w:sdt>
        <w:sdtPr>
          <w:rPr>
            <w:b/>
            <w:bCs/>
            <w:rtl/>
          </w:rPr>
          <w:alias w:val="1455"/>
          <w:tag w:val="1455"/>
          <w:id w:val="1666048407"/>
          <w:text w:multiLine="1"/>
        </w:sdtPr>
        <w:sdtEndPr/>
        <w:sdtContent>
          <w:r>
            <w:rPr>
              <w:rFonts w:ascii="Arial" w:hAnsi="Arial"/>
              <w:b/>
              <w:bCs/>
              <w:rtl/>
            </w:rPr>
            <w:t>ו' תשרי תשפ"ד</w:t>
          </w:r>
        </w:sdtContent>
      </w:sdt>
      <w:r w:rsidR="00005C8B" w:rsidRPr="00425D64">
        <w:rPr>
          <w:rFonts w:ascii="Arial" w:hAnsi="Arial"/>
          <w:b/>
          <w:bCs/>
          <w:rtl/>
        </w:rPr>
        <w:t xml:space="preserve">, </w:t>
      </w:r>
      <w:sdt>
        <w:sdtPr>
          <w:rPr>
            <w:b/>
            <w:bCs/>
            <w:rtl/>
          </w:rPr>
          <w:alias w:val="1456"/>
          <w:tag w:val="1456"/>
          <w:id w:val="-1186288958"/>
          <w:text w:multiLine="1"/>
        </w:sdtPr>
        <w:sdtEndPr/>
        <w:sdtContent>
          <w:r>
            <w:rPr>
              <w:rFonts w:ascii="Arial" w:hAnsi="Arial"/>
              <w:b/>
              <w:bCs/>
              <w:rtl/>
            </w:rPr>
            <w:t>21 ספטמבר 2023</w:t>
          </w:r>
        </w:sdtContent>
      </w:sdt>
      <w:r w:rsidR="00005C8B" w:rsidRPr="00425D64">
        <w:rPr>
          <w:rFonts w:ascii="Arial" w:hAnsi="Arial"/>
          <w:b/>
          <w:bCs/>
          <w:rtl/>
        </w:rPr>
        <w:t>, בהעדר הצדדים.</w:t>
      </w:r>
    </w:p>
    <w:p w:rsidR="00425D64" w:rsidRPr="00425D64" w:rsidRDefault="00425D64" w:rsidP="00425D64">
      <w:pPr>
        <w:spacing w:line="360" w:lineRule="auto"/>
        <w:jc w:val="both"/>
        <w:rPr>
          <w:rFonts w:ascii="Arial" w:hAnsi="Arial"/>
          <w:b/>
          <w:bCs/>
          <w:rtl/>
        </w:rPr>
      </w:pPr>
      <w:r w:rsidRPr="00425D64">
        <w:rPr>
          <w:rFonts w:ascii="Arial" w:hAnsi="Arial" w:hint="cs"/>
          <w:b/>
          <w:bCs/>
          <w:rtl/>
        </w:rPr>
        <w:t>המזכירות תמציא את פסק הדין לצדדים ותיידע את ב"כ הצדדים טלפונית על מתן פסק הדין.</w:t>
      </w:r>
    </w:p>
    <w:tbl>
      <w:tblPr>
        <w:tblStyle w:val="ac"/>
        <w:bidiVisual/>
        <w:tblW w:w="0" w:type="auto"/>
        <w:tblInd w:w="5334" w:type="dxa"/>
        <w:tblBorders>
          <w:top w:val="none" w:sz="0" w:space="0" w:color="auto"/>
          <w:left w:val="none" w:sz="0" w:space="0" w:color="auto"/>
          <w:bottom w:val="none" w:sz="0" w:space="0" w:color="auto"/>
          <w:right w:val="none" w:sz="0" w:space="0" w:color="auto"/>
          <w:insideH w:val="single" w:sz="12" w:space="0" w:color="auto"/>
        </w:tblBorders>
        <w:tblLook w:val="01E0" w:firstRow="1" w:lastRow="1" w:firstColumn="1" w:lastColumn="1" w:noHBand="0" w:noVBand="0"/>
      </w:tblPr>
      <w:tblGrid>
        <w:gridCol w:w="2973"/>
      </w:tblGrid>
      <w:tr w:rsidR="00F64F24" w:rsidTr="003E7911">
        <w:tc>
          <w:tcPr>
            <w:tcW w:w="2973" w:type="dxa"/>
            <w:tcBorders>
              <w:top w:val="nil"/>
              <w:left w:val="nil"/>
              <w:bottom w:val="single" w:sz="12" w:space="0" w:color="auto"/>
              <w:right w:val="nil"/>
            </w:tcBorders>
            <w:hideMark/>
          </w:tcPr>
          <w:p w:rsidR="00F64F24" w:rsidRDefault="00F64F24">
            <w:pPr>
              <w:jc w:val="center"/>
            </w:pPr>
            <w:r>
              <w:rPr>
                <w:noProof/>
              </w:rPr>
              <w:drawing>
                <wp:inline distT="0" distB="0" distL="0" distR="0">
                  <wp:extent cx="942975" cy="1019175"/>
                  <wp:effectExtent l="0" t="0" r="9525" b="9525"/>
                  <wp:docPr id="2" name="תמונה 2" descr="טולקובסק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טולקובסק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2975" cy="1019175"/>
                          </a:xfrm>
                          <a:prstGeom prst="rect">
                            <a:avLst/>
                          </a:prstGeom>
                          <a:noFill/>
                          <a:ln>
                            <a:noFill/>
                          </a:ln>
                        </pic:spPr>
                      </pic:pic>
                    </a:graphicData>
                  </a:graphic>
                </wp:inline>
              </w:drawing>
            </w:r>
          </w:p>
        </w:tc>
      </w:tr>
      <w:tr w:rsidR="00F64F24" w:rsidTr="003E7911">
        <w:tc>
          <w:tcPr>
            <w:tcW w:w="2973" w:type="dxa"/>
            <w:tcBorders>
              <w:top w:val="single" w:sz="12" w:space="0" w:color="auto"/>
              <w:left w:val="nil"/>
              <w:bottom w:val="nil"/>
              <w:right w:val="nil"/>
            </w:tcBorders>
            <w:hideMark/>
          </w:tcPr>
          <w:p w:rsidR="00F64F24" w:rsidRDefault="00F64F24">
            <w:pPr>
              <w:jc w:val="center"/>
              <w:rPr>
                <w:b/>
                <w:bCs/>
              </w:rPr>
            </w:pPr>
            <w:r>
              <w:rPr>
                <w:b/>
                <w:bCs/>
                <w:rtl/>
              </w:rPr>
              <w:t>בלהה טולקובסקי, שופטת</w:t>
            </w:r>
          </w:p>
          <w:p w:rsidR="00F64F24" w:rsidRDefault="00F64F24">
            <w:pPr>
              <w:jc w:val="center"/>
              <w:rPr>
                <w:b/>
                <w:bCs/>
              </w:rPr>
            </w:pPr>
            <w:r>
              <w:rPr>
                <w:b/>
                <w:bCs/>
                <w:rtl/>
              </w:rPr>
              <w:t>סגנית נשיאה</w:t>
            </w:r>
          </w:p>
        </w:tc>
      </w:tr>
    </w:tbl>
    <w:p w:rsidR="00F64F24" w:rsidRDefault="00F64F24" w:rsidP="00F64F24">
      <w:pPr>
        <w:spacing w:line="360" w:lineRule="auto"/>
        <w:jc w:val="both"/>
        <w:rPr>
          <w:rFonts w:ascii="Arial" w:hAnsi="Arial"/>
          <w:rtl/>
        </w:rPr>
      </w:pPr>
    </w:p>
    <w:sectPr w:rsidR="00F64F24" w:rsidSect="002B5BD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D7C" w:rsidRDefault="00B52D7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210A79">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210A79">
      <w:rPr>
        <w:rStyle w:val="ae"/>
        <w:noProof/>
        <w:rtl/>
      </w:rPr>
      <w:t>33</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D7C" w:rsidRDefault="00B52D7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D7C" w:rsidRDefault="00B52D7C">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8D10B2" w:rsidRPr="00B01C7F" w:rsidRDefault="00210A79" w:rsidP="00B01C7F">
          <w:pPr>
            <w:rPr>
              <w:b/>
              <w:bCs/>
              <w:sz w:val="26"/>
              <w:szCs w:val="26"/>
              <w:rtl/>
            </w:rPr>
          </w:pPr>
          <w:sdt>
            <w:sdtPr>
              <w:rPr>
                <w:rtl/>
              </w:rPr>
              <w:alias w:val="1170"/>
              <w:tag w:val="1170"/>
              <w:id w:val="1066377040"/>
              <w:text w:multiLine="1"/>
            </w:sdtPr>
            <w:sdtEndPr/>
            <w:sdtContent>
              <w:r w:rsidR="00B859C5">
                <w:rPr>
                  <w:b/>
                  <w:bCs/>
                  <w:sz w:val="26"/>
                  <w:szCs w:val="26"/>
                  <w:rtl/>
                </w:rPr>
                <w:t>ת"א</w:t>
              </w:r>
            </w:sdtContent>
          </w:sdt>
          <w:r w:rsidR="00005C8B">
            <w:rPr>
              <w:b/>
              <w:bCs/>
              <w:sz w:val="26"/>
              <w:szCs w:val="26"/>
              <w:rtl/>
            </w:rPr>
            <w:t xml:space="preserve"> </w:t>
          </w:r>
          <w:bookmarkStart w:id="1" w:name="_GoBack"/>
          <w:sdt>
            <w:sdtPr>
              <w:rPr>
                <w:rtl/>
              </w:rPr>
              <w:alias w:val="1171"/>
              <w:tag w:val="1171"/>
              <w:id w:val="257034231"/>
              <w:text w:multiLine="1"/>
            </w:sdtPr>
            <w:sdtEndPr/>
            <w:sdtContent>
              <w:r w:rsidR="00B859C5">
                <w:rPr>
                  <w:b/>
                  <w:bCs/>
                  <w:sz w:val="26"/>
                  <w:szCs w:val="26"/>
                  <w:rtl/>
                </w:rPr>
                <w:t>11384-04-18</w:t>
              </w:r>
            </w:sdtContent>
          </w:sdt>
          <w:bookmarkEnd w:id="1"/>
          <w:r w:rsidR="00005C8B">
            <w:rPr>
              <w:b/>
              <w:bCs/>
              <w:sz w:val="26"/>
              <w:szCs w:val="26"/>
              <w:rtl/>
            </w:rPr>
            <w:t xml:space="preserve"> </w:t>
          </w:r>
          <w:sdt>
            <w:sdtPr>
              <w:rPr>
                <w:b/>
                <w:bCs/>
                <w:sz w:val="26"/>
                <w:szCs w:val="26"/>
                <w:rtl/>
              </w:rPr>
              <w:alias w:val="3154"/>
              <w:tag w:val="3154"/>
              <w:id w:val="-1285889662"/>
              <w:placeholder>
                <w:docPart w:val="F5EF4663D5094D57BB3FEC6B89CF5C8E"/>
              </w:placeholder>
              <w:text w:multiLine="1"/>
            </w:sdtPr>
            <w:sdtEndPr/>
            <w:sdtContent>
              <w:r w:rsidR="00B859C5">
                <w:rPr>
                  <w:b/>
                  <w:bCs/>
                  <w:sz w:val="26"/>
                  <w:szCs w:val="26"/>
                  <w:rtl/>
                </w:rPr>
                <w:t>אלמונית ואח' נ' מחלקה לחקירות שוטרים - מח"ש</w:t>
              </w:r>
            </w:sdtContent>
          </w:sdt>
          <w:r w:rsidR="007C2453">
            <w:rPr>
              <w:b/>
              <w:bCs/>
              <w:sz w:val="26"/>
              <w:szCs w:val="26"/>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D7C" w:rsidRDefault="00B52D7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54F37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A04CA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3C086F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DCE5D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B9C60F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CC547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A68F1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D06DF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C809D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15C68B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7D5C093D"/>
    <w:multiLevelType w:val="hybridMultilevel"/>
    <w:tmpl w:val="00C83E2E"/>
    <w:lvl w:ilvl="0" w:tplc="33BAD5DA">
      <w:start w:val="1"/>
      <w:numFmt w:val="decimal"/>
      <w:lvlText w:val="%1."/>
      <w:lvlJc w:val="left"/>
      <w:pPr>
        <w:ind w:left="502" w:hanging="360"/>
      </w:pPr>
      <w:rPr>
        <w:rFonts w:ascii="David" w:hAnsi="David" w:cs="David" w:hint="default"/>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efaultTabStop w:val="720"/>
  <w:characterSpacingControl w:val="doNotCompress"/>
  <w:hdrShapeDefaults>
    <o:shapedefaults v:ext="edit" spidmax="214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3770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377090&amp;lt;/CaseID&amp;gt;_x000d__x000a_        &amp;lt;CaseMonth&amp;gt;4&amp;lt;/CaseMonth&amp;gt;_x000d__x000a_        &amp;lt;CaseYear&amp;gt;2018&amp;lt;/CaseYear&amp;gt;_x000d__x000a_        &amp;lt;CaseNumber&amp;gt;11384&amp;lt;/CaseNumber&amp;gt;_x000d__x000a_        &amp;lt;NumeratorGroupID&amp;gt;1&amp;lt;/NumeratorGroupID&amp;gt;_x000d__x000a_        &amp;lt;CaseName&amp;gt;אלמונית ואח&amp;#39; נ&amp;#39; מחלקה לחקירות שוטרים - מח&amp;quot;ש&amp;lt;/CaseName&amp;gt;_x000d__x000a_        &amp;lt;CourtID&amp;gt;896&amp;lt;/CourtID&amp;gt;_x000d__x000a_        &amp;lt;CaseTypeID&amp;gt;1&amp;lt;/CaseTypeID&amp;gt;_x000d__x000a_        &amp;lt;CaseInterestID&amp;gt;41&amp;lt;/CaseInterestID&amp;gt;_x000d__x000a_        &amp;lt;CaseJudgeName&amp;gt;בלהה טולקובסק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11384-04-18&amp;lt;/CaseDisplayIdentifier&amp;gt;_x000d__x000a_        &amp;lt;CaseTypeDesc&amp;gt;ת&amp;quot;א&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8-04-09T12:02: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בלהה&amp;lt;/CaseJudgeFirstName&amp;gt;_x000d__x000a_        &amp;lt;CaseJudgeLastName&amp;gt;טולקובסקי&amp;lt;/CaseJudgeLastName&amp;gt;_x000d__x000a_        &amp;lt;JudicalPersonID&amp;gt;059128892@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לאחר שיחה טלפונית עם חב&amp;#39; אולטקסט נאמר כי אין ביכולתם להעביר תמלול כקובץ וורד לבית המשפט מאחר והלקוח הינו הפרקליטות ורק דרכם ניתן לקבל את התמלול. מליג.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377090&amp;lt;/CaseID&amp;gt;_x000d__x000a_        &amp;lt;CaseMonth&amp;gt;4&amp;lt;/CaseMonth&amp;gt;_x000d__x000a_        &amp;lt;CaseYear&amp;gt;2018&amp;lt;/CaseYear&amp;gt;_x000d__x000a_        &amp;lt;CaseNumber&amp;gt;11384&amp;lt;/CaseNumber&amp;gt;_x000d__x000a_        &amp;lt;NumeratorGroupID&amp;gt;1&amp;lt;/NumeratorGroupID&amp;gt;_x000d__x000a_        &amp;lt;CaseName&amp;gt;אלמונית ואח&amp;#39; נ&amp;#39; מחלקה לחקירות שוטרים - מח&amp;quot;ש&amp;lt;/CaseName&amp;gt;_x000d__x000a_        &amp;lt;CourtID&amp;gt;896&amp;lt;/CourtID&amp;gt;_x000d__x000a_        &amp;lt;CaseTypeID&amp;gt;1&amp;lt;/CaseTypeID&amp;gt;_x000d__x000a_        &amp;lt;CaseInterestID&amp;gt;41&amp;lt;/CaseInterestID&amp;gt;_x000d__x000a_        &amp;lt;CaseJudgeName&amp;gt;בלהה טולקובסק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11384-04-18&amp;lt;/CaseDisplayIdentifier&amp;gt;_x000d__x000a_        &amp;lt;CaseTypeDesc&amp;gt;ת&amp;quot;א&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18-04-09T12:02: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בלהה&amp;lt;/CaseJudgeFirstName&amp;gt;_x000d__x000a_        &amp;lt;CaseJudgeLastName&amp;gt;טולקובסקי&amp;lt;/CaseJudgeLastName&amp;gt;_x000d__x000a_        &amp;lt;JudicalPersonID&amp;gt;059128892@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לאחר שיחה טלפונית עם חב&amp;#39; אולטקסט נאמר כי אין ביכולתם להעביר תמלול כקובץ וורד לבית המשפט מאחר והלקוח הינו הפרקליטות ורק דרכם ניתן לקבל את התמלול. מליג.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264191&amp;lt;/DecisionID&amp;gt;_x000d__x000a_        &amp;lt;DecisionName&amp;gt;פסק דין  שניתנה ע&amp;quot;י  בלהה טולקובסקי&amp;lt;/DecisionName&amp;gt;_x000d__x000a_        &amp;lt;DecisionStatusID&amp;gt;1&amp;lt;/DecisionStatusID&amp;gt;_x000d__x000a_        &amp;lt;DecisionStatusChangeDate&amp;gt;2023-09-21T10:39:33.19+03:00&amp;lt;/DecisionStatusChangeDate&amp;gt;_x000d__x000a_        &amp;lt;DecisionSignatureDate&amp;gt;2023-09-21T10:33:44.433+03:00&amp;lt;/DecisionSignatureDate&amp;gt;_x000d__x000a_        &amp;lt;DecisionSignatureUserID&amp;gt;059128892@GOV.IL&amp;lt;/DecisionSignatureUserID&amp;gt;_x000d__x000a_        &amp;lt;DecisionCreateDate&amp;gt;2023-09-21T08:36:59.487+03:00&amp;lt;/DecisionCreateDate&amp;gt;_x000d__x000a_        &amp;lt;DecisionChangeDate&amp;gt;2023-09-21T10:39:33.38+03:00&amp;lt;/DecisionChangeDate&amp;gt;_x000d__x000a_        &amp;lt;DecisionChangeUserID&amp;gt;05912889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17855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2889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481584@GOV.IL&amp;lt;/DecisionCreationUserID&amp;gt;_x000d__x000a_        &amp;lt;DecisionDisplayName&amp;gt;פסק דין  שניתנה ע&amp;quot;י  בלהה טולקובסקי&amp;lt;/DecisionDisplayName&amp;gt;_x000d__x000a_        &amp;lt;IsScanned&amp;gt;false&amp;lt;/IsScanned&amp;gt;_x000d__x000a_        &amp;lt;DecisionSignatureUserName&amp;gt;בלהה טולקובסק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7264191&amp;lt;/DecisionID&amp;gt;_x000d__x000a_        &amp;lt;CaseID&amp;gt;75377090&amp;lt;/CaseID&amp;gt;_x000d__x000a_        &amp;lt;IsOriginal&amp;gt;true&amp;lt;/IsOriginal&amp;gt;_x000d__x000a_        &amp;lt;IsDeleted&amp;gt;false&amp;lt;/IsDeleted&amp;gt;_x000d__x000a_        &amp;lt;CaseName&amp;gt;אלמונית ואח&amp;#39; נ&amp;#39; מחלקה לחקירות שוטרים - מח&amp;quot;ש&amp;lt;/CaseName&amp;gt;_x000d__x000a_        &amp;lt;CaseDisplayIdentifier&amp;gt;11384-04-18 ת&amp;quot;א&amp;lt;/CaseDisplayIdentifier&amp;gt;_x000d__x000a_      &amp;lt;/dt_DecisionCase&amp;gt;_x000d__x000a_    &amp;lt;/DecisionDS&amp;gt;_x000d__x000a_  &amp;lt;/diffgr:diffgram&amp;gt;_x000d__x000a_&amp;lt;/DecisionDS&amp;gt;"/>
    <w:docVar w:name="DecisionID" w:val="147264191"/>
    <w:docVar w:name="WordClientAssemblyName" w:val="NGCS.Decision.ClientWordBL"/>
    <w:docVar w:name="WordClientClassName" w:val="NGCS.Decision.ClientWordBL.DecisionClient"/>
  </w:docVars>
  <w:rsids>
    <w:rsidRoot w:val="00694556"/>
    <w:rsid w:val="00000062"/>
    <w:rsid w:val="0000226B"/>
    <w:rsid w:val="00005C8B"/>
    <w:rsid w:val="00040CA8"/>
    <w:rsid w:val="000529D2"/>
    <w:rsid w:val="000564AB"/>
    <w:rsid w:val="00064FBD"/>
    <w:rsid w:val="00074406"/>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10A79"/>
    <w:rsid w:val="002265FF"/>
    <w:rsid w:val="00271B56"/>
    <w:rsid w:val="00272E32"/>
    <w:rsid w:val="002B5BD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5D64"/>
    <w:rsid w:val="004271F6"/>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7447"/>
    <w:rsid w:val="00520898"/>
    <w:rsid w:val="00523621"/>
    <w:rsid w:val="00524986"/>
    <w:rsid w:val="005268F6"/>
    <w:rsid w:val="00534284"/>
    <w:rsid w:val="00547DB7"/>
    <w:rsid w:val="00557717"/>
    <w:rsid w:val="00576A86"/>
    <w:rsid w:val="005C245C"/>
    <w:rsid w:val="005F4F09"/>
    <w:rsid w:val="005F5528"/>
    <w:rsid w:val="006024A3"/>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21CA"/>
    <w:rsid w:val="008C5714"/>
    <w:rsid w:val="008D10B2"/>
    <w:rsid w:val="008E4BE4"/>
    <w:rsid w:val="00903896"/>
    <w:rsid w:val="00906F3D"/>
    <w:rsid w:val="00921CA2"/>
    <w:rsid w:val="0094424E"/>
    <w:rsid w:val="00955642"/>
    <w:rsid w:val="009622DF"/>
    <w:rsid w:val="0096493F"/>
    <w:rsid w:val="00967DFF"/>
    <w:rsid w:val="00994341"/>
    <w:rsid w:val="009C7D2A"/>
    <w:rsid w:val="009D1A48"/>
    <w:rsid w:val="009E1CE7"/>
    <w:rsid w:val="009E461A"/>
    <w:rsid w:val="009E4EA5"/>
    <w:rsid w:val="009F164B"/>
    <w:rsid w:val="009F323C"/>
    <w:rsid w:val="00A3392B"/>
    <w:rsid w:val="00A46717"/>
    <w:rsid w:val="00A85E34"/>
    <w:rsid w:val="00A9144F"/>
    <w:rsid w:val="00A94B64"/>
    <w:rsid w:val="00A95A76"/>
    <w:rsid w:val="00AA0DE4"/>
    <w:rsid w:val="00AA3229"/>
    <w:rsid w:val="00AA7596"/>
    <w:rsid w:val="00AB3AE3"/>
    <w:rsid w:val="00AB5E52"/>
    <w:rsid w:val="00AC3B02"/>
    <w:rsid w:val="00AC3B7B"/>
    <w:rsid w:val="00AC5209"/>
    <w:rsid w:val="00AD407A"/>
    <w:rsid w:val="00AD4EE6"/>
    <w:rsid w:val="00AE0E34"/>
    <w:rsid w:val="00AE729E"/>
    <w:rsid w:val="00AE7752"/>
    <w:rsid w:val="00AF7FDA"/>
    <w:rsid w:val="00B01C7F"/>
    <w:rsid w:val="00B52D7C"/>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1162A"/>
    <w:rsid w:val="00C22D93"/>
    <w:rsid w:val="00C23458"/>
    <w:rsid w:val="00C23AC9"/>
    <w:rsid w:val="00C31120"/>
    <w:rsid w:val="00C34482"/>
    <w:rsid w:val="00C43648"/>
    <w:rsid w:val="00C50A9F"/>
    <w:rsid w:val="00C642FA"/>
    <w:rsid w:val="00C770E3"/>
    <w:rsid w:val="00CC7622"/>
    <w:rsid w:val="00CD608F"/>
    <w:rsid w:val="00CF6BB7"/>
    <w:rsid w:val="00D04AA4"/>
    <w:rsid w:val="00D156A1"/>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64F24"/>
    <w:rsid w:val="00F74337"/>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F64F2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F64F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F64F24"/>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F64F24"/>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F64F2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F64F24"/>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F64F2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F64F2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paragraph" w:styleId="af0">
    <w:name w:val="List Paragraph"/>
    <w:basedOn w:val="a1"/>
    <w:uiPriority w:val="34"/>
    <w:qFormat/>
    <w:rsid w:val="00B01C7F"/>
    <w:pPr>
      <w:spacing w:after="160" w:line="256" w:lineRule="auto"/>
      <w:ind w:left="720"/>
      <w:contextualSpacing/>
    </w:pPr>
    <w:rPr>
      <w:rFonts w:asciiTheme="minorHAnsi" w:eastAsiaTheme="minorHAnsi" w:hAnsiTheme="minorHAnsi" w:cstheme="minorBidi"/>
      <w:sz w:val="22"/>
      <w:szCs w:val="22"/>
    </w:rPr>
  </w:style>
  <w:style w:type="character" w:styleId="FollowedHyperlink">
    <w:name w:val="FollowedHyperlink"/>
    <w:basedOn w:val="a2"/>
    <w:semiHidden/>
    <w:unhideWhenUsed/>
    <w:rsid w:val="00F64F24"/>
    <w:rPr>
      <w:noProof w:val="0"/>
      <w:color w:val="800080" w:themeColor="followedHyperlink"/>
      <w:u w:val="single"/>
    </w:rPr>
  </w:style>
  <w:style w:type="character" w:styleId="HTMLCite">
    <w:name w:val="HTML Cite"/>
    <w:basedOn w:val="a2"/>
    <w:semiHidden/>
    <w:unhideWhenUsed/>
    <w:rsid w:val="00F64F24"/>
    <w:rPr>
      <w:i/>
      <w:iCs/>
      <w:noProof w:val="0"/>
    </w:rPr>
  </w:style>
  <w:style w:type="character" w:styleId="HTMLCode">
    <w:name w:val="HTML Code"/>
    <w:basedOn w:val="a2"/>
    <w:semiHidden/>
    <w:unhideWhenUsed/>
    <w:rsid w:val="00F64F24"/>
    <w:rPr>
      <w:rFonts w:ascii="Consolas" w:hAnsi="Consolas"/>
      <w:noProof w:val="0"/>
      <w:sz w:val="20"/>
      <w:szCs w:val="20"/>
    </w:rPr>
  </w:style>
  <w:style w:type="character" w:styleId="HTMLDefinition">
    <w:name w:val="HTML Definition"/>
    <w:basedOn w:val="a2"/>
    <w:semiHidden/>
    <w:unhideWhenUsed/>
    <w:rsid w:val="00F64F24"/>
    <w:rPr>
      <w:i/>
      <w:iCs/>
      <w:noProof w:val="0"/>
    </w:rPr>
  </w:style>
  <w:style w:type="character" w:styleId="HTMLVariable">
    <w:name w:val="HTML Variable"/>
    <w:basedOn w:val="a2"/>
    <w:semiHidden/>
    <w:unhideWhenUsed/>
    <w:rsid w:val="00F64F24"/>
    <w:rPr>
      <w:i/>
      <w:iCs/>
      <w:noProof w:val="0"/>
    </w:rPr>
  </w:style>
  <w:style w:type="paragraph" w:styleId="HTML">
    <w:name w:val="HTML Preformatted"/>
    <w:basedOn w:val="a1"/>
    <w:link w:val="HTML0"/>
    <w:semiHidden/>
    <w:unhideWhenUsed/>
    <w:rsid w:val="00F64F24"/>
    <w:rPr>
      <w:rFonts w:ascii="Consolas" w:hAnsi="Consolas"/>
      <w:sz w:val="20"/>
      <w:szCs w:val="20"/>
    </w:rPr>
  </w:style>
  <w:style w:type="character" w:customStyle="1" w:styleId="HTML0">
    <w:name w:val="HTML מעוצב מראש תו"/>
    <w:basedOn w:val="a2"/>
    <w:link w:val="HTML"/>
    <w:semiHidden/>
    <w:rsid w:val="00F64F24"/>
    <w:rPr>
      <w:rFonts w:ascii="Consolas" w:hAnsi="Consolas" w:cs="David"/>
      <w:noProof w:val="0"/>
    </w:rPr>
  </w:style>
  <w:style w:type="character" w:styleId="Hyperlink">
    <w:name w:val="Hyperlink"/>
    <w:basedOn w:val="a2"/>
    <w:semiHidden/>
    <w:unhideWhenUsed/>
    <w:rsid w:val="00F64F24"/>
    <w:rPr>
      <w:noProof w:val="0"/>
      <w:color w:val="0000FF" w:themeColor="hyperlink"/>
      <w:u w:val="single"/>
    </w:rPr>
  </w:style>
  <w:style w:type="paragraph" w:styleId="Index1">
    <w:name w:val="index 1"/>
    <w:basedOn w:val="a1"/>
    <w:next w:val="a1"/>
    <w:autoRedefine/>
    <w:semiHidden/>
    <w:unhideWhenUsed/>
    <w:rsid w:val="00F64F24"/>
    <w:pPr>
      <w:ind w:left="240" w:hanging="240"/>
    </w:pPr>
  </w:style>
  <w:style w:type="paragraph" w:styleId="Index2">
    <w:name w:val="index 2"/>
    <w:basedOn w:val="a1"/>
    <w:next w:val="a1"/>
    <w:autoRedefine/>
    <w:semiHidden/>
    <w:unhideWhenUsed/>
    <w:rsid w:val="00F64F24"/>
    <w:pPr>
      <w:ind w:left="480" w:hanging="240"/>
    </w:pPr>
  </w:style>
  <w:style w:type="paragraph" w:styleId="Index3">
    <w:name w:val="index 3"/>
    <w:basedOn w:val="a1"/>
    <w:next w:val="a1"/>
    <w:autoRedefine/>
    <w:semiHidden/>
    <w:unhideWhenUsed/>
    <w:rsid w:val="00F64F24"/>
    <w:pPr>
      <w:ind w:left="720" w:hanging="240"/>
    </w:pPr>
  </w:style>
  <w:style w:type="paragraph" w:styleId="Index4">
    <w:name w:val="index 4"/>
    <w:basedOn w:val="a1"/>
    <w:next w:val="a1"/>
    <w:autoRedefine/>
    <w:semiHidden/>
    <w:unhideWhenUsed/>
    <w:rsid w:val="00F64F24"/>
    <w:pPr>
      <w:ind w:left="960" w:hanging="240"/>
    </w:pPr>
  </w:style>
  <w:style w:type="paragraph" w:styleId="Index5">
    <w:name w:val="index 5"/>
    <w:basedOn w:val="a1"/>
    <w:next w:val="a1"/>
    <w:autoRedefine/>
    <w:semiHidden/>
    <w:unhideWhenUsed/>
    <w:rsid w:val="00F64F24"/>
    <w:pPr>
      <w:ind w:left="1200" w:hanging="240"/>
    </w:pPr>
  </w:style>
  <w:style w:type="paragraph" w:styleId="Index6">
    <w:name w:val="index 6"/>
    <w:basedOn w:val="a1"/>
    <w:next w:val="a1"/>
    <w:autoRedefine/>
    <w:semiHidden/>
    <w:unhideWhenUsed/>
    <w:rsid w:val="00F64F24"/>
    <w:pPr>
      <w:ind w:left="1440" w:hanging="240"/>
    </w:pPr>
  </w:style>
  <w:style w:type="paragraph" w:styleId="Index7">
    <w:name w:val="index 7"/>
    <w:basedOn w:val="a1"/>
    <w:next w:val="a1"/>
    <w:autoRedefine/>
    <w:semiHidden/>
    <w:unhideWhenUsed/>
    <w:rsid w:val="00F64F24"/>
    <w:pPr>
      <w:ind w:left="1680" w:hanging="240"/>
    </w:pPr>
  </w:style>
  <w:style w:type="paragraph" w:styleId="Index8">
    <w:name w:val="index 8"/>
    <w:basedOn w:val="a1"/>
    <w:next w:val="a1"/>
    <w:autoRedefine/>
    <w:semiHidden/>
    <w:unhideWhenUsed/>
    <w:rsid w:val="00F64F24"/>
    <w:pPr>
      <w:ind w:left="1920" w:hanging="240"/>
    </w:pPr>
  </w:style>
  <w:style w:type="paragraph" w:styleId="Index9">
    <w:name w:val="index 9"/>
    <w:basedOn w:val="a1"/>
    <w:next w:val="a1"/>
    <w:autoRedefine/>
    <w:semiHidden/>
    <w:unhideWhenUsed/>
    <w:rsid w:val="00F64F24"/>
    <w:pPr>
      <w:ind w:left="2160" w:hanging="240"/>
    </w:pPr>
  </w:style>
  <w:style w:type="paragraph" w:styleId="NormalWeb">
    <w:name w:val="Normal (Web)"/>
    <w:basedOn w:val="a1"/>
    <w:semiHidden/>
    <w:unhideWhenUsed/>
    <w:rsid w:val="00F64F24"/>
    <w:rPr>
      <w:rFonts w:cs="Times New Roman"/>
    </w:rPr>
  </w:style>
  <w:style w:type="paragraph" w:styleId="TOC1">
    <w:name w:val="toc 1"/>
    <w:basedOn w:val="a1"/>
    <w:next w:val="a1"/>
    <w:autoRedefine/>
    <w:semiHidden/>
    <w:unhideWhenUsed/>
    <w:rsid w:val="00F64F24"/>
    <w:pPr>
      <w:spacing w:after="100"/>
    </w:pPr>
  </w:style>
  <w:style w:type="paragraph" w:styleId="TOC2">
    <w:name w:val="toc 2"/>
    <w:basedOn w:val="a1"/>
    <w:next w:val="a1"/>
    <w:autoRedefine/>
    <w:semiHidden/>
    <w:unhideWhenUsed/>
    <w:rsid w:val="00F64F24"/>
    <w:pPr>
      <w:spacing w:after="100"/>
      <w:ind w:left="240"/>
    </w:pPr>
  </w:style>
  <w:style w:type="paragraph" w:styleId="TOC3">
    <w:name w:val="toc 3"/>
    <w:basedOn w:val="a1"/>
    <w:next w:val="a1"/>
    <w:autoRedefine/>
    <w:semiHidden/>
    <w:unhideWhenUsed/>
    <w:rsid w:val="00F64F24"/>
    <w:pPr>
      <w:spacing w:after="100"/>
      <w:ind w:left="480"/>
    </w:pPr>
  </w:style>
  <w:style w:type="paragraph" w:styleId="TOC4">
    <w:name w:val="toc 4"/>
    <w:basedOn w:val="a1"/>
    <w:next w:val="a1"/>
    <w:autoRedefine/>
    <w:semiHidden/>
    <w:unhideWhenUsed/>
    <w:rsid w:val="00F64F24"/>
    <w:pPr>
      <w:spacing w:after="100"/>
      <w:ind w:left="720"/>
    </w:pPr>
  </w:style>
  <w:style w:type="paragraph" w:styleId="TOC5">
    <w:name w:val="toc 5"/>
    <w:basedOn w:val="a1"/>
    <w:next w:val="a1"/>
    <w:autoRedefine/>
    <w:semiHidden/>
    <w:unhideWhenUsed/>
    <w:rsid w:val="00F64F24"/>
    <w:pPr>
      <w:spacing w:after="100"/>
      <w:ind w:left="960"/>
    </w:pPr>
  </w:style>
  <w:style w:type="paragraph" w:styleId="TOC6">
    <w:name w:val="toc 6"/>
    <w:basedOn w:val="a1"/>
    <w:next w:val="a1"/>
    <w:autoRedefine/>
    <w:semiHidden/>
    <w:unhideWhenUsed/>
    <w:rsid w:val="00F64F24"/>
    <w:pPr>
      <w:spacing w:after="100"/>
      <w:ind w:left="1200"/>
    </w:pPr>
  </w:style>
  <w:style w:type="paragraph" w:styleId="TOC7">
    <w:name w:val="toc 7"/>
    <w:basedOn w:val="a1"/>
    <w:next w:val="a1"/>
    <w:autoRedefine/>
    <w:semiHidden/>
    <w:unhideWhenUsed/>
    <w:rsid w:val="00F64F24"/>
    <w:pPr>
      <w:spacing w:after="100"/>
      <w:ind w:left="1440"/>
    </w:pPr>
  </w:style>
  <w:style w:type="paragraph" w:styleId="TOC8">
    <w:name w:val="toc 8"/>
    <w:basedOn w:val="a1"/>
    <w:next w:val="a1"/>
    <w:autoRedefine/>
    <w:semiHidden/>
    <w:unhideWhenUsed/>
    <w:rsid w:val="00F64F24"/>
    <w:pPr>
      <w:spacing w:after="100"/>
      <w:ind w:left="1680"/>
    </w:pPr>
  </w:style>
  <w:style w:type="paragraph" w:styleId="TOC9">
    <w:name w:val="toc 9"/>
    <w:basedOn w:val="a1"/>
    <w:next w:val="a1"/>
    <w:autoRedefine/>
    <w:semiHidden/>
    <w:unhideWhenUsed/>
    <w:rsid w:val="00F64F24"/>
    <w:pPr>
      <w:spacing w:after="100"/>
      <w:ind w:left="1920"/>
    </w:pPr>
  </w:style>
  <w:style w:type="table" w:styleId="-1">
    <w:name w:val="Table 3D effects 1"/>
    <w:basedOn w:val="a3"/>
    <w:semiHidden/>
    <w:unhideWhenUsed/>
    <w:rsid w:val="00F64F24"/>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F64F24"/>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F64F24"/>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F64F24"/>
  </w:style>
  <w:style w:type="paragraph" w:styleId="af2">
    <w:name w:val="Salutation"/>
    <w:basedOn w:val="a1"/>
    <w:next w:val="a1"/>
    <w:link w:val="af3"/>
    <w:rsid w:val="00F64F24"/>
  </w:style>
  <w:style w:type="character" w:customStyle="1" w:styleId="af3">
    <w:name w:val="ברכה תו"/>
    <w:basedOn w:val="a2"/>
    <w:link w:val="af2"/>
    <w:rsid w:val="00F64F24"/>
    <w:rPr>
      <w:rFonts w:cs="David"/>
      <w:noProof w:val="0"/>
      <w:sz w:val="24"/>
      <w:szCs w:val="24"/>
    </w:rPr>
  </w:style>
  <w:style w:type="paragraph" w:styleId="af4">
    <w:name w:val="Body Text"/>
    <w:basedOn w:val="a1"/>
    <w:link w:val="af5"/>
    <w:semiHidden/>
    <w:unhideWhenUsed/>
    <w:rsid w:val="00F64F24"/>
    <w:pPr>
      <w:spacing w:after="120"/>
    </w:pPr>
  </w:style>
  <w:style w:type="character" w:customStyle="1" w:styleId="af5">
    <w:name w:val="גוף טקסט תו"/>
    <w:basedOn w:val="a2"/>
    <w:link w:val="af4"/>
    <w:semiHidden/>
    <w:rsid w:val="00F64F24"/>
    <w:rPr>
      <w:rFonts w:cs="David"/>
      <w:noProof w:val="0"/>
      <w:sz w:val="24"/>
      <w:szCs w:val="24"/>
    </w:rPr>
  </w:style>
  <w:style w:type="paragraph" w:styleId="23">
    <w:name w:val="Body Text 2"/>
    <w:basedOn w:val="a1"/>
    <w:link w:val="24"/>
    <w:semiHidden/>
    <w:unhideWhenUsed/>
    <w:rsid w:val="00F64F24"/>
    <w:pPr>
      <w:spacing w:after="120" w:line="480" w:lineRule="auto"/>
    </w:pPr>
  </w:style>
  <w:style w:type="character" w:customStyle="1" w:styleId="24">
    <w:name w:val="גוף טקסט 2 תו"/>
    <w:basedOn w:val="a2"/>
    <w:link w:val="23"/>
    <w:semiHidden/>
    <w:rsid w:val="00F64F24"/>
    <w:rPr>
      <w:rFonts w:cs="David"/>
      <w:noProof w:val="0"/>
      <w:sz w:val="24"/>
      <w:szCs w:val="24"/>
    </w:rPr>
  </w:style>
  <w:style w:type="paragraph" w:styleId="33">
    <w:name w:val="Body Text 3"/>
    <w:basedOn w:val="a1"/>
    <w:link w:val="34"/>
    <w:semiHidden/>
    <w:unhideWhenUsed/>
    <w:rsid w:val="00F64F24"/>
    <w:pPr>
      <w:spacing w:after="120"/>
    </w:pPr>
    <w:rPr>
      <w:sz w:val="16"/>
      <w:szCs w:val="16"/>
    </w:rPr>
  </w:style>
  <w:style w:type="character" w:customStyle="1" w:styleId="34">
    <w:name w:val="גוף טקסט 3 תו"/>
    <w:basedOn w:val="a2"/>
    <w:link w:val="33"/>
    <w:semiHidden/>
    <w:rsid w:val="00F64F24"/>
    <w:rPr>
      <w:rFonts w:cs="David"/>
      <w:noProof w:val="0"/>
      <w:sz w:val="16"/>
      <w:szCs w:val="16"/>
    </w:rPr>
  </w:style>
  <w:style w:type="character" w:styleId="HTML1">
    <w:name w:val="HTML Sample"/>
    <w:basedOn w:val="a2"/>
    <w:semiHidden/>
    <w:unhideWhenUsed/>
    <w:rsid w:val="00F64F24"/>
    <w:rPr>
      <w:rFonts w:ascii="Consolas" w:hAnsi="Consolas"/>
      <w:noProof w:val="0"/>
      <w:sz w:val="24"/>
      <w:szCs w:val="24"/>
    </w:rPr>
  </w:style>
  <w:style w:type="character" w:styleId="af6">
    <w:name w:val="Emphasis"/>
    <w:basedOn w:val="a2"/>
    <w:qFormat/>
    <w:rsid w:val="00F64F24"/>
    <w:rPr>
      <w:i/>
      <w:iCs/>
      <w:noProof w:val="0"/>
    </w:rPr>
  </w:style>
  <w:style w:type="character" w:styleId="af7">
    <w:name w:val="Intense Emphasis"/>
    <w:basedOn w:val="a2"/>
    <w:uiPriority w:val="21"/>
    <w:qFormat/>
    <w:rsid w:val="00F64F24"/>
    <w:rPr>
      <w:i/>
      <w:iCs/>
      <w:noProof w:val="0"/>
      <w:color w:val="4F81BD" w:themeColor="accent1"/>
    </w:rPr>
  </w:style>
  <w:style w:type="character" w:styleId="af8">
    <w:name w:val="Subtle Emphasis"/>
    <w:basedOn w:val="a2"/>
    <w:uiPriority w:val="19"/>
    <w:qFormat/>
    <w:rsid w:val="00F64F24"/>
    <w:rPr>
      <w:i/>
      <w:iCs/>
      <w:noProof w:val="0"/>
      <w:color w:val="404040" w:themeColor="text1" w:themeTint="BF"/>
    </w:rPr>
  </w:style>
  <w:style w:type="paragraph" w:styleId="af9">
    <w:name w:val="List Continue"/>
    <w:basedOn w:val="a1"/>
    <w:semiHidden/>
    <w:unhideWhenUsed/>
    <w:rsid w:val="00F64F24"/>
    <w:pPr>
      <w:spacing w:after="120"/>
      <w:ind w:left="283"/>
      <w:contextualSpacing/>
    </w:pPr>
  </w:style>
  <w:style w:type="paragraph" w:styleId="25">
    <w:name w:val="List Continue 2"/>
    <w:basedOn w:val="a1"/>
    <w:semiHidden/>
    <w:unhideWhenUsed/>
    <w:rsid w:val="00F64F24"/>
    <w:pPr>
      <w:spacing w:after="120"/>
      <w:ind w:left="566"/>
      <w:contextualSpacing/>
    </w:pPr>
  </w:style>
  <w:style w:type="paragraph" w:styleId="35">
    <w:name w:val="List Continue 3"/>
    <w:basedOn w:val="a1"/>
    <w:semiHidden/>
    <w:unhideWhenUsed/>
    <w:rsid w:val="00F64F24"/>
    <w:pPr>
      <w:spacing w:after="120"/>
      <w:ind w:left="849"/>
      <w:contextualSpacing/>
    </w:pPr>
  </w:style>
  <w:style w:type="paragraph" w:styleId="42">
    <w:name w:val="List Continue 4"/>
    <w:basedOn w:val="a1"/>
    <w:semiHidden/>
    <w:unhideWhenUsed/>
    <w:rsid w:val="00F64F24"/>
    <w:pPr>
      <w:spacing w:after="120"/>
      <w:ind w:left="1132"/>
      <w:contextualSpacing/>
    </w:pPr>
  </w:style>
  <w:style w:type="paragraph" w:styleId="53">
    <w:name w:val="List Continue 5"/>
    <w:basedOn w:val="a1"/>
    <w:semiHidden/>
    <w:unhideWhenUsed/>
    <w:rsid w:val="00F64F24"/>
    <w:pPr>
      <w:spacing w:after="120"/>
      <w:ind w:left="1415"/>
      <w:contextualSpacing/>
    </w:pPr>
  </w:style>
  <w:style w:type="character" w:styleId="afa">
    <w:name w:val="Intense Reference"/>
    <w:basedOn w:val="a2"/>
    <w:uiPriority w:val="32"/>
    <w:qFormat/>
    <w:rsid w:val="00F64F24"/>
    <w:rPr>
      <w:b/>
      <w:bCs/>
      <w:smallCaps/>
      <w:noProof w:val="0"/>
      <w:color w:val="4F81BD" w:themeColor="accent1"/>
      <w:spacing w:val="5"/>
    </w:rPr>
  </w:style>
  <w:style w:type="character" w:styleId="afb">
    <w:name w:val="endnote reference"/>
    <w:basedOn w:val="a2"/>
    <w:semiHidden/>
    <w:unhideWhenUsed/>
    <w:rsid w:val="00F64F24"/>
    <w:rPr>
      <w:noProof w:val="0"/>
      <w:vertAlign w:val="superscript"/>
    </w:rPr>
  </w:style>
  <w:style w:type="character" w:styleId="afc">
    <w:name w:val="footnote reference"/>
    <w:basedOn w:val="a2"/>
    <w:semiHidden/>
    <w:unhideWhenUsed/>
    <w:rsid w:val="00F64F24"/>
    <w:rPr>
      <w:noProof w:val="0"/>
      <w:vertAlign w:val="superscript"/>
    </w:rPr>
  </w:style>
  <w:style w:type="character" w:styleId="afd">
    <w:name w:val="Subtle Reference"/>
    <w:basedOn w:val="a2"/>
    <w:uiPriority w:val="31"/>
    <w:qFormat/>
    <w:rsid w:val="00F64F24"/>
    <w:rPr>
      <w:smallCaps/>
      <w:noProof w:val="0"/>
      <w:color w:val="5A5A5A" w:themeColor="text1" w:themeTint="A5"/>
    </w:rPr>
  </w:style>
  <w:style w:type="table" w:styleId="afe">
    <w:name w:val="Light Shading"/>
    <w:basedOn w:val="a3"/>
    <w:uiPriority w:val="60"/>
    <w:semiHidden/>
    <w:unhideWhenUsed/>
    <w:rsid w:val="00F64F2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F64F24"/>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F64F24"/>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F64F24"/>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F64F24"/>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F64F24"/>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F64F24"/>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F64F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F64F2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F64F2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F64F2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F64F2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F64F2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F64F2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F64F2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F64F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F64F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F64F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F64F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F64F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F64F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F64F2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F64F2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F64F2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F64F2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F64F2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F64F2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F64F2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F64F24"/>
    <w:rPr>
      <w:b/>
      <w:bCs/>
      <w:noProof w:val="0"/>
    </w:rPr>
  </w:style>
  <w:style w:type="paragraph" w:styleId="aff1">
    <w:name w:val="Signature"/>
    <w:basedOn w:val="a1"/>
    <w:link w:val="aff2"/>
    <w:semiHidden/>
    <w:unhideWhenUsed/>
    <w:rsid w:val="00F64F24"/>
    <w:pPr>
      <w:ind w:left="4252"/>
    </w:pPr>
  </w:style>
  <w:style w:type="character" w:customStyle="1" w:styleId="aff2">
    <w:name w:val="חתימה תו"/>
    <w:basedOn w:val="a2"/>
    <w:link w:val="aff1"/>
    <w:semiHidden/>
    <w:rsid w:val="00F64F24"/>
    <w:rPr>
      <w:rFonts w:cs="David"/>
      <w:noProof w:val="0"/>
      <w:sz w:val="24"/>
      <w:szCs w:val="24"/>
    </w:rPr>
  </w:style>
  <w:style w:type="paragraph" w:styleId="aff3">
    <w:name w:val="E-mail Signature"/>
    <w:basedOn w:val="a1"/>
    <w:link w:val="aff4"/>
    <w:semiHidden/>
    <w:unhideWhenUsed/>
    <w:rsid w:val="00F64F24"/>
  </w:style>
  <w:style w:type="character" w:customStyle="1" w:styleId="aff4">
    <w:name w:val="חתימת דואר אלקטרוני תו"/>
    <w:basedOn w:val="a2"/>
    <w:link w:val="aff3"/>
    <w:semiHidden/>
    <w:rsid w:val="00F64F24"/>
    <w:rPr>
      <w:rFonts w:cs="David"/>
      <w:noProof w:val="0"/>
      <w:sz w:val="24"/>
      <w:szCs w:val="24"/>
    </w:rPr>
  </w:style>
  <w:style w:type="table" w:styleId="aff5">
    <w:name w:val="Table Elegant"/>
    <w:basedOn w:val="a3"/>
    <w:semiHidden/>
    <w:unhideWhenUsed/>
    <w:rsid w:val="00F64F24"/>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F64F24"/>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F64F24"/>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F64F24"/>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F64F24"/>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F64F24"/>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F64F24"/>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F64F24"/>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F64F24"/>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F64F24"/>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F64F24"/>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F64F24"/>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F64F24"/>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F64F24"/>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F64F24"/>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F64F2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F64F2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F64F2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F64F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F64F2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F64F24"/>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F64F24"/>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F64F24"/>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F64F2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F64F24"/>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F64F24"/>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F64F24"/>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F64F24"/>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F64F24"/>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F64F24"/>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F64F24"/>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F64F24"/>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F64F24"/>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F64F24"/>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F64F24"/>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F64F24"/>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F64F24"/>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F64F24"/>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F64F24"/>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F64F24"/>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F64F24"/>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F64F24"/>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F64F24"/>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F64F24"/>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F64F2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F64F2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F64F2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F64F2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F64F2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F64F2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F64F2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F64F24"/>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F64F24"/>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F64F24"/>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F64F24"/>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F64F24"/>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F64F24"/>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F64F24"/>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F64F24"/>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F64F24"/>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F64F24"/>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F64F24"/>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F64F24"/>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F64F24"/>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F64F24"/>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F64F2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F64F24"/>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F64F24"/>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F64F24"/>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F64F24"/>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F64F24"/>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F64F24"/>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F64F2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F64F2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F64F24"/>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F64F24"/>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F64F24"/>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F64F24"/>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F64F24"/>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F64F2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F64F24"/>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F64F24"/>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F64F24"/>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F64F24"/>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F64F24"/>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F64F24"/>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F64F2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F64F2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F64F2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F64F2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F64F2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F64F2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F64F2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F64F2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F64F2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F64F2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F64F2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F64F2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F64F2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F64F2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F64F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F64F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F64F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F64F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F64F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F64F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F64F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F64F2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F64F2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F64F24"/>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F64F24"/>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F64F24"/>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F64F24"/>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F64F24"/>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F64F2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F64F2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F64F24"/>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F64F24"/>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F64F24"/>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F64F24"/>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F64F24"/>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F64F2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F64F24"/>
    <w:rPr>
      <w:sz w:val="20"/>
      <w:szCs w:val="20"/>
    </w:rPr>
  </w:style>
  <w:style w:type="character" w:customStyle="1" w:styleId="affa">
    <w:name w:val="טקסט הערת סיום תו"/>
    <w:basedOn w:val="a2"/>
    <w:link w:val="aff9"/>
    <w:semiHidden/>
    <w:rsid w:val="00F64F24"/>
    <w:rPr>
      <w:rFonts w:cs="David"/>
      <w:noProof w:val="0"/>
    </w:rPr>
  </w:style>
  <w:style w:type="paragraph" w:styleId="affb">
    <w:name w:val="footnote text"/>
    <w:basedOn w:val="a1"/>
    <w:link w:val="affc"/>
    <w:semiHidden/>
    <w:unhideWhenUsed/>
    <w:rsid w:val="00F64F24"/>
    <w:rPr>
      <w:sz w:val="20"/>
      <w:szCs w:val="20"/>
    </w:rPr>
  </w:style>
  <w:style w:type="character" w:customStyle="1" w:styleId="affc">
    <w:name w:val="טקסט הערת שוליים תו"/>
    <w:basedOn w:val="a2"/>
    <w:link w:val="affb"/>
    <w:semiHidden/>
    <w:rsid w:val="00F64F24"/>
    <w:rPr>
      <w:rFonts w:cs="David"/>
      <w:noProof w:val="0"/>
    </w:rPr>
  </w:style>
  <w:style w:type="paragraph" w:styleId="affd">
    <w:name w:val="macro"/>
    <w:link w:val="affe"/>
    <w:semiHidden/>
    <w:unhideWhenUsed/>
    <w:rsid w:val="00F64F24"/>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F64F24"/>
    <w:rPr>
      <w:rFonts w:ascii="Consolas" w:hAnsi="Consolas" w:cs="David"/>
      <w:noProof w:val="0"/>
    </w:rPr>
  </w:style>
  <w:style w:type="paragraph" w:styleId="afff">
    <w:name w:val="Plain Text"/>
    <w:basedOn w:val="a1"/>
    <w:link w:val="afff0"/>
    <w:semiHidden/>
    <w:unhideWhenUsed/>
    <w:rsid w:val="00F64F24"/>
    <w:rPr>
      <w:rFonts w:ascii="Consolas" w:hAnsi="Consolas"/>
      <w:sz w:val="21"/>
      <w:szCs w:val="21"/>
    </w:rPr>
  </w:style>
  <w:style w:type="character" w:customStyle="1" w:styleId="afff0">
    <w:name w:val="טקסט רגיל תו"/>
    <w:basedOn w:val="a2"/>
    <w:link w:val="afff"/>
    <w:semiHidden/>
    <w:rsid w:val="00F64F24"/>
    <w:rPr>
      <w:rFonts w:ascii="Consolas" w:hAnsi="Consolas" w:cs="David"/>
      <w:noProof w:val="0"/>
      <w:sz w:val="21"/>
      <w:szCs w:val="21"/>
    </w:rPr>
  </w:style>
  <w:style w:type="character" w:styleId="afff1">
    <w:name w:val="Book Title"/>
    <w:basedOn w:val="a2"/>
    <w:uiPriority w:val="33"/>
    <w:qFormat/>
    <w:rsid w:val="00F64F24"/>
    <w:rPr>
      <w:b/>
      <w:bCs/>
      <w:i/>
      <w:iCs/>
      <w:noProof w:val="0"/>
      <w:spacing w:val="5"/>
    </w:rPr>
  </w:style>
  <w:style w:type="character" w:customStyle="1" w:styleId="10">
    <w:name w:val="כותרת 1 תו"/>
    <w:basedOn w:val="a2"/>
    <w:link w:val="1"/>
    <w:rsid w:val="00F64F24"/>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F64F24"/>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F64F24"/>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F64F24"/>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F64F24"/>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F64F24"/>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F64F24"/>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F64F24"/>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F64F24"/>
    <w:rPr>
      <w:rFonts w:asciiTheme="majorHAnsi" w:eastAsiaTheme="majorEastAsia" w:hAnsiTheme="majorHAnsi" w:cstheme="majorBidi"/>
      <w:b/>
      <w:bCs/>
    </w:rPr>
  </w:style>
  <w:style w:type="paragraph" w:styleId="afff3">
    <w:name w:val="Note Heading"/>
    <w:basedOn w:val="a1"/>
    <w:next w:val="a1"/>
    <w:link w:val="afff4"/>
    <w:semiHidden/>
    <w:unhideWhenUsed/>
    <w:rsid w:val="00F64F24"/>
  </w:style>
  <w:style w:type="character" w:customStyle="1" w:styleId="afff4">
    <w:name w:val="כותרת הערות תו"/>
    <w:basedOn w:val="a2"/>
    <w:link w:val="afff3"/>
    <w:semiHidden/>
    <w:rsid w:val="00F64F24"/>
    <w:rPr>
      <w:rFonts w:cs="David"/>
      <w:noProof w:val="0"/>
      <w:sz w:val="24"/>
      <w:szCs w:val="24"/>
    </w:rPr>
  </w:style>
  <w:style w:type="paragraph" w:styleId="afff5">
    <w:name w:val="Title"/>
    <w:basedOn w:val="a1"/>
    <w:next w:val="a1"/>
    <w:link w:val="afff6"/>
    <w:qFormat/>
    <w:rsid w:val="00F64F24"/>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F64F24"/>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F64F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F64F24"/>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F64F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F64F24"/>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F64F24"/>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F64F24"/>
    <w:pPr>
      <w:outlineLvl w:val="9"/>
    </w:pPr>
  </w:style>
  <w:style w:type="paragraph" w:styleId="afffd">
    <w:name w:val="caption"/>
    <w:basedOn w:val="a1"/>
    <w:next w:val="a1"/>
    <w:semiHidden/>
    <w:unhideWhenUsed/>
    <w:qFormat/>
    <w:rsid w:val="00F64F24"/>
    <w:pPr>
      <w:spacing w:after="200"/>
    </w:pPr>
    <w:rPr>
      <w:i/>
      <w:iCs/>
      <w:color w:val="1F497D" w:themeColor="text2"/>
      <w:sz w:val="18"/>
      <w:szCs w:val="18"/>
    </w:rPr>
  </w:style>
  <w:style w:type="paragraph" w:styleId="afffe">
    <w:name w:val="Body Text Indent"/>
    <w:basedOn w:val="a1"/>
    <w:link w:val="affff"/>
    <w:semiHidden/>
    <w:unhideWhenUsed/>
    <w:rsid w:val="00F64F24"/>
    <w:pPr>
      <w:spacing w:after="120"/>
      <w:ind w:left="283"/>
    </w:pPr>
  </w:style>
  <w:style w:type="character" w:customStyle="1" w:styleId="affff">
    <w:name w:val="כניסה בגוף טקסט תו"/>
    <w:basedOn w:val="a2"/>
    <w:link w:val="afffe"/>
    <w:semiHidden/>
    <w:rsid w:val="00F64F24"/>
    <w:rPr>
      <w:rFonts w:cs="David"/>
      <w:noProof w:val="0"/>
      <w:sz w:val="24"/>
      <w:szCs w:val="24"/>
    </w:rPr>
  </w:style>
  <w:style w:type="paragraph" w:styleId="2f">
    <w:name w:val="Body Text Indent 2"/>
    <w:basedOn w:val="a1"/>
    <w:link w:val="2f0"/>
    <w:semiHidden/>
    <w:unhideWhenUsed/>
    <w:rsid w:val="00F64F24"/>
    <w:pPr>
      <w:spacing w:after="120" w:line="480" w:lineRule="auto"/>
      <w:ind w:left="283"/>
    </w:pPr>
  </w:style>
  <w:style w:type="character" w:customStyle="1" w:styleId="2f0">
    <w:name w:val="כניסה בגוף טקסט 2 תו"/>
    <w:basedOn w:val="a2"/>
    <w:link w:val="2f"/>
    <w:semiHidden/>
    <w:rsid w:val="00F64F24"/>
    <w:rPr>
      <w:rFonts w:cs="David"/>
      <w:noProof w:val="0"/>
      <w:sz w:val="24"/>
      <w:szCs w:val="24"/>
    </w:rPr>
  </w:style>
  <w:style w:type="paragraph" w:styleId="3d">
    <w:name w:val="Body Text Indent 3"/>
    <w:basedOn w:val="a1"/>
    <w:link w:val="3e"/>
    <w:semiHidden/>
    <w:unhideWhenUsed/>
    <w:rsid w:val="00F64F24"/>
    <w:pPr>
      <w:spacing w:after="120"/>
      <w:ind w:left="283"/>
    </w:pPr>
    <w:rPr>
      <w:sz w:val="16"/>
      <w:szCs w:val="16"/>
    </w:rPr>
  </w:style>
  <w:style w:type="character" w:customStyle="1" w:styleId="3e">
    <w:name w:val="כניסה בגוף טקסט 3 תו"/>
    <w:basedOn w:val="a2"/>
    <w:link w:val="3d"/>
    <w:semiHidden/>
    <w:rsid w:val="00F64F24"/>
    <w:rPr>
      <w:rFonts w:cs="David"/>
      <w:noProof w:val="0"/>
      <w:sz w:val="16"/>
      <w:szCs w:val="16"/>
    </w:rPr>
  </w:style>
  <w:style w:type="paragraph" w:styleId="affff0">
    <w:name w:val="Normal Indent"/>
    <w:basedOn w:val="a1"/>
    <w:semiHidden/>
    <w:unhideWhenUsed/>
    <w:rsid w:val="00F64F24"/>
    <w:pPr>
      <w:ind w:left="720"/>
    </w:pPr>
  </w:style>
  <w:style w:type="paragraph" w:styleId="affff1">
    <w:name w:val="Body Text First Indent"/>
    <w:basedOn w:val="af4"/>
    <w:link w:val="affff2"/>
    <w:rsid w:val="00F64F24"/>
    <w:pPr>
      <w:spacing w:after="0"/>
      <w:ind w:firstLine="360"/>
    </w:pPr>
  </w:style>
  <w:style w:type="character" w:customStyle="1" w:styleId="affff2">
    <w:name w:val="כניסת שורה ראשונה בגוף טקסט תו"/>
    <w:basedOn w:val="af5"/>
    <w:link w:val="affff1"/>
    <w:rsid w:val="00F64F24"/>
    <w:rPr>
      <w:rFonts w:cs="David"/>
      <w:noProof w:val="0"/>
      <w:sz w:val="24"/>
      <w:szCs w:val="24"/>
    </w:rPr>
  </w:style>
  <w:style w:type="paragraph" w:styleId="2f1">
    <w:name w:val="Body Text First Indent 2"/>
    <w:basedOn w:val="afffe"/>
    <w:link w:val="2f2"/>
    <w:semiHidden/>
    <w:unhideWhenUsed/>
    <w:rsid w:val="00F64F24"/>
    <w:pPr>
      <w:spacing w:after="0"/>
      <w:ind w:left="360" w:firstLine="360"/>
    </w:pPr>
  </w:style>
  <w:style w:type="character" w:customStyle="1" w:styleId="2f2">
    <w:name w:val="כניסת שורה ראשונה בגוף טקסט 2 תו"/>
    <w:basedOn w:val="affff"/>
    <w:link w:val="2f1"/>
    <w:semiHidden/>
    <w:rsid w:val="00F64F24"/>
    <w:rPr>
      <w:rFonts w:cs="David"/>
      <w:noProof w:val="0"/>
      <w:sz w:val="24"/>
      <w:szCs w:val="24"/>
    </w:rPr>
  </w:style>
  <w:style w:type="paragraph" w:styleId="HTML2">
    <w:name w:val="HTML Address"/>
    <w:basedOn w:val="a1"/>
    <w:link w:val="HTML3"/>
    <w:semiHidden/>
    <w:unhideWhenUsed/>
    <w:rsid w:val="00F64F24"/>
    <w:rPr>
      <w:i/>
      <w:iCs/>
    </w:rPr>
  </w:style>
  <w:style w:type="character" w:customStyle="1" w:styleId="HTML3">
    <w:name w:val="כתובת HTML תו"/>
    <w:basedOn w:val="a2"/>
    <w:link w:val="HTML2"/>
    <w:semiHidden/>
    <w:rsid w:val="00F64F24"/>
    <w:rPr>
      <w:rFonts w:cs="David"/>
      <w:i/>
      <w:iCs/>
      <w:noProof w:val="0"/>
      <w:sz w:val="24"/>
      <w:szCs w:val="24"/>
    </w:rPr>
  </w:style>
  <w:style w:type="paragraph" w:styleId="affff3">
    <w:name w:val="envelope address"/>
    <w:basedOn w:val="a1"/>
    <w:semiHidden/>
    <w:unhideWhenUsed/>
    <w:rsid w:val="00F64F24"/>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F64F24"/>
    <w:rPr>
      <w:rFonts w:asciiTheme="majorHAnsi" w:eastAsiaTheme="majorEastAsia" w:hAnsiTheme="majorHAnsi" w:cstheme="majorBidi"/>
      <w:sz w:val="20"/>
      <w:szCs w:val="20"/>
    </w:rPr>
  </w:style>
  <w:style w:type="paragraph" w:styleId="affff5">
    <w:name w:val="No Spacing"/>
    <w:uiPriority w:val="1"/>
    <w:qFormat/>
    <w:rsid w:val="00F64F24"/>
    <w:pPr>
      <w:bidi/>
    </w:pPr>
    <w:rPr>
      <w:rFonts w:cs="David"/>
      <w:sz w:val="24"/>
      <w:szCs w:val="24"/>
    </w:rPr>
  </w:style>
  <w:style w:type="character" w:styleId="HTML4">
    <w:name w:val="HTML Typewriter"/>
    <w:basedOn w:val="a2"/>
    <w:semiHidden/>
    <w:unhideWhenUsed/>
    <w:rsid w:val="00F64F24"/>
    <w:rPr>
      <w:rFonts w:ascii="Consolas" w:hAnsi="Consolas"/>
      <w:noProof w:val="0"/>
      <w:sz w:val="20"/>
      <w:szCs w:val="20"/>
    </w:rPr>
  </w:style>
  <w:style w:type="paragraph" w:styleId="affff6">
    <w:name w:val="Document Map"/>
    <w:basedOn w:val="a1"/>
    <w:link w:val="affff7"/>
    <w:semiHidden/>
    <w:unhideWhenUsed/>
    <w:rsid w:val="00F64F24"/>
    <w:rPr>
      <w:rFonts w:ascii="Tahoma" w:hAnsi="Tahoma" w:cs="Tahoma"/>
      <w:sz w:val="16"/>
      <w:szCs w:val="16"/>
    </w:rPr>
  </w:style>
  <w:style w:type="character" w:customStyle="1" w:styleId="affff7">
    <w:name w:val="מפת מסמך תו"/>
    <w:basedOn w:val="a2"/>
    <w:link w:val="affff6"/>
    <w:semiHidden/>
    <w:rsid w:val="00F64F24"/>
    <w:rPr>
      <w:rFonts w:ascii="Tahoma" w:hAnsi="Tahoma" w:cs="Tahoma"/>
      <w:noProof w:val="0"/>
      <w:sz w:val="16"/>
      <w:szCs w:val="16"/>
    </w:rPr>
  </w:style>
  <w:style w:type="character" w:styleId="HTML5">
    <w:name w:val="HTML Keyboard"/>
    <w:basedOn w:val="a2"/>
    <w:semiHidden/>
    <w:unhideWhenUsed/>
    <w:rsid w:val="00F64F24"/>
    <w:rPr>
      <w:rFonts w:ascii="Consolas" w:hAnsi="Consolas"/>
      <w:noProof w:val="0"/>
      <w:sz w:val="20"/>
      <w:szCs w:val="20"/>
    </w:rPr>
  </w:style>
  <w:style w:type="paragraph" w:styleId="affff8">
    <w:name w:val="annotation subject"/>
    <w:basedOn w:val="a8"/>
    <w:next w:val="a8"/>
    <w:link w:val="affff9"/>
    <w:semiHidden/>
    <w:unhideWhenUsed/>
    <w:rsid w:val="00F64F24"/>
    <w:rPr>
      <w:rFonts w:cs="David"/>
      <w:b/>
      <w:bCs/>
      <w:sz w:val="20"/>
      <w:szCs w:val="20"/>
    </w:rPr>
  </w:style>
  <w:style w:type="character" w:customStyle="1" w:styleId="a9">
    <w:name w:val="טקסט הערה תו"/>
    <w:basedOn w:val="a2"/>
    <w:link w:val="a8"/>
    <w:semiHidden/>
    <w:rsid w:val="00F64F24"/>
    <w:rPr>
      <w:noProof w:val="0"/>
      <w:sz w:val="24"/>
      <w:szCs w:val="24"/>
    </w:rPr>
  </w:style>
  <w:style w:type="character" w:customStyle="1" w:styleId="affff9">
    <w:name w:val="נושא הערה תו"/>
    <w:basedOn w:val="a9"/>
    <w:link w:val="affff8"/>
    <w:semiHidden/>
    <w:rsid w:val="00F64F24"/>
    <w:rPr>
      <w:rFonts w:cs="David"/>
      <w:b/>
      <w:bCs/>
      <w:noProof w:val="0"/>
      <w:sz w:val="24"/>
      <w:szCs w:val="24"/>
    </w:rPr>
  </w:style>
  <w:style w:type="table" w:styleId="affffa">
    <w:name w:val="Table Theme"/>
    <w:basedOn w:val="a3"/>
    <w:semiHidden/>
    <w:unhideWhenUsed/>
    <w:rsid w:val="00F64F24"/>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F64F24"/>
    <w:pPr>
      <w:ind w:left="4252"/>
    </w:pPr>
  </w:style>
  <w:style w:type="character" w:customStyle="1" w:styleId="affffc">
    <w:name w:val="סיום תו"/>
    <w:basedOn w:val="a2"/>
    <w:link w:val="affffb"/>
    <w:semiHidden/>
    <w:rsid w:val="00F64F24"/>
    <w:rPr>
      <w:rFonts w:cs="David"/>
      <w:noProof w:val="0"/>
      <w:sz w:val="24"/>
      <w:szCs w:val="24"/>
    </w:rPr>
  </w:style>
  <w:style w:type="table" w:styleId="1b">
    <w:name w:val="Table Columns 1"/>
    <w:basedOn w:val="a3"/>
    <w:semiHidden/>
    <w:unhideWhenUsed/>
    <w:rsid w:val="00F64F24"/>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F64F24"/>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F64F24"/>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F64F24"/>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F64F24"/>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F64F24"/>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F64F24"/>
    <w:rPr>
      <w:rFonts w:cs="David"/>
      <w:i/>
      <w:iCs/>
      <w:noProof w:val="0"/>
      <w:color w:val="404040" w:themeColor="text1" w:themeTint="BF"/>
      <w:sz w:val="24"/>
      <w:szCs w:val="24"/>
    </w:rPr>
  </w:style>
  <w:style w:type="paragraph" w:styleId="afffff">
    <w:name w:val="Intense Quote"/>
    <w:basedOn w:val="a1"/>
    <w:next w:val="a1"/>
    <w:link w:val="afffff0"/>
    <w:uiPriority w:val="30"/>
    <w:qFormat/>
    <w:rsid w:val="00F64F2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F64F24"/>
    <w:rPr>
      <w:rFonts w:cs="David"/>
      <w:i/>
      <w:iCs/>
      <w:noProof w:val="0"/>
      <w:color w:val="4F81BD" w:themeColor="accent1"/>
      <w:sz w:val="24"/>
      <w:szCs w:val="24"/>
    </w:rPr>
  </w:style>
  <w:style w:type="character" w:styleId="HTML6">
    <w:name w:val="HTML Acronym"/>
    <w:basedOn w:val="a2"/>
    <w:semiHidden/>
    <w:unhideWhenUsed/>
    <w:rsid w:val="00F64F24"/>
    <w:rPr>
      <w:noProof w:val="0"/>
    </w:rPr>
  </w:style>
  <w:style w:type="paragraph" w:styleId="afffff1">
    <w:name w:val="List"/>
    <w:basedOn w:val="a1"/>
    <w:semiHidden/>
    <w:unhideWhenUsed/>
    <w:rsid w:val="00F64F24"/>
    <w:pPr>
      <w:ind w:left="283" w:hanging="283"/>
      <w:contextualSpacing/>
    </w:pPr>
  </w:style>
  <w:style w:type="paragraph" w:styleId="2f4">
    <w:name w:val="List 2"/>
    <w:basedOn w:val="a1"/>
    <w:semiHidden/>
    <w:unhideWhenUsed/>
    <w:rsid w:val="00F64F24"/>
    <w:pPr>
      <w:ind w:left="566" w:hanging="283"/>
      <w:contextualSpacing/>
    </w:pPr>
  </w:style>
  <w:style w:type="paragraph" w:styleId="3f0">
    <w:name w:val="List 3"/>
    <w:basedOn w:val="a1"/>
    <w:semiHidden/>
    <w:unhideWhenUsed/>
    <w:rsid w:val="00F64F24"/>
    <w:pPr>
      <w:ind w:left="849" w:hanging="283"/>
      <w:contextualSpacing/>
    </w:pPr>
  </w:style>
  <w:style w:type="paragraph" w:styleId="48">
    <w:name w:val="List 4"/>
    <w:basedOn w:val="a1"/>
    <w:rsid w:val="00F64F24"/>
    <w:pPr>
      <w:ind w:left="1132" w:hanging="283"/>
      <w:contextualSpacing/>
    </w:pPr>
  </w:style>
  <w:style w:type="paragraph" w:styleId="58">
    <w:name w:val="List 5"/>
    <w:basedOn w:val="a1"/>
    <w:rsid w:val="00F64F24"/>
    <w:pPr>
      <w:ind w:left="1415" w:hanging="283"/>
      <w:contextualSpacing/>
    </w:pPr>
  </w:style>
  <w:style w:type="table" w:styleId="afffff2">
    <w:name w:val="Light List"/>
    <w:basedOn w:val="a3"/>
    <w:uiPriority w:val="61"/>
    <w:semiHidden/>
    <w:unhideWhenUsed/>
    <w:rsid w:val="00F64F2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F64F2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F64F2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F64F2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F64F2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F64F2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F64F2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F64F24"/>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F64F24"/>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F64F24"/>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F64F24"/>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F64F24"/>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F64F24"/>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F64F24"/>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F64F24"/>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F64F2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F64F2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F64F2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F64F2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F64F2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F64F2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F64F2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F64F2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F64F2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F64F2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F64F2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F64F2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F64F2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F64F2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F64F24"/>
    <w:pPr>
      <w:numPr>
        <w:numId w:val="2"/>
      </w:numPr>
      <w:contextualSpacing/>
    </w:pPr>
  </w:style>
  <w:style w:type="paragraph" w:styleId="2">
    <w:name w:val="List Number 2"/>
    <w:basedOn w:val="a1"/>
    <w:semiHidden/>
    <w:unhideWhenUsed/>
    <w:rsid w:val="00F64F24"/>
    <w:pPr>
      <w:numPr>
        <w:numId w:val="3"/>
      </w:numPr>
      <w:contextualSpacing/>
    </w:pPr>
  </w:style>
  <w:style w:type="paragraph" w:styleId="3">
    <w:name w:val="List Number 3"/>
    <w:basedOn w:val="a1"/>
    <w:semiHidden/>
    <w:unhideWhenUsed/>
    <w:rsid w:val="00F64F24"/>
    <w:pPr>
      <w:numPr>
        <w:numId w:val="4"/>
      </w:numPr>
      <w:contextualSpacing/>
    </w:pPr>
  </w:style>
  <w:style w:type="paragraph" w:styleId="4">
    <w:name w:val="List Number 4"/>
    <w:basedOn w:val="a1"/>
    <w:semiHidden/>
    <w:unhideWhenUsed/>
    <w:rsid w:val="00F64F24"/>
    <w:pPr>
      <w:numPr>
        <w:numId w:val="5"/>
      </w:numPr>
      <w:contextualSpacing/>
    </w:pPr>
  </w:style>
  <w:style w:type="paragraph" w:styleId="5">
    <w:name w:val="List Number 5"/>
    <w:basedOn w:val="a1"/>
    <w:semiHidden/>
    <w:unhideWhenUsed/>
    <w:rsid w:val="00F64F24"/>
    <w:pPr>
      <w:numPr>
        <w:numId w:val="6"/>
      </w:numPr>
      <w:contextualSpacing/>
    </w:pPr>
  </w:style>
  <w:style w:type="paragraph" w:styleId="a0">
    <w:name w:val="List Bullet"/>
    <w:basedOn w:val="a1"/>
    <w:semiHidden/>
    <w:unhideWhenUsed/>
    <w:rsid w:val="00F64F24"/>
    <w:pPr>
      <w:numPr>
        <w:numId w:val="7"/>
      </w:numPr>
      <w:contextualSpacing/>
    </w:pPr>
  </w:style>
  <w:style w:type="paragraph" w:styleId="20">
    <w:name w:val="List Bullet 2"/>
    <w:basedOn w:val="a1"/>
    <w:semiHidden/>
    <w:unhideWhenUsed/>
    <w:rsid w:val="00F64F24"/>
    <w:pPr>
      <w:numPr>
        <w:numId w:val="8"/>
      </w:numPr>
      <w:contextualSpacing/>
    </w:pPr>
  </w:style>
  <w:style w:type="paragraph" w:styleId="30">
    <w:name w:val="List Bullet 3"/>
    <w:basedOn w:val="a1"/>
    <w:semiHidden/>
    <w:unhideWhenUsed/>
    <w:rsid w:val="00F64F24"/>
    <w:pPr>
      <w:numPr>
        <w:numId w:val="9"/>
      </w:numPr>
      <w:contextualSpacing/>
    </w:pPr>
  </w:style>
  <w:style w:type="paragraph" w:styleId="40">
    <w:name w:val="List Bullet 4"/>
    <w:basedOn w:val="a1"/>
    <w:semiHidden/>
    <w:unhideWhenUsed/>
    <w:rsid w:val="00F64F24"/>
    <w:pPr>
      <w:numPr>
        <w:numId w:val="10"/>
      </w:numPr>
      <w:contextualSpacing/>
    </w:pPr>
  </w:style>
  <w:style w:type="paragraph" w:styleId="50">
    <w:name w:val="List Bullet 5"/>
    <w:basedOn w:val="a1"/>
    <w:semiHidden/>
    <w:unhideWhenUsed/>
    <w:rsid w:val="00F64F24"/>
    <w:pPr>
      <w:numPr>
        <w:numId w:val="11"/>
      </w:numPr>
      <w:contextualSpacing/>
    </w:pPr>
  </w:style>
  <w:style w:type="table" w:styleId="afffff4">
    <w:name w:val="Colorful List"/>
    <w:basedOn w:val="a3"/>
    <w:uiPriority w:val="72"/>
    <w:semiHidden/>
    <w:unhideWhenUsed/>
    <w:rsid w:val="00F64F2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F64F2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F64F2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F64F2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F64F2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F64F2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F64F2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F64F24"/>
  </w:style>
  <w:style w:type="paragraph" w:styleId="afffff6">
    <w:name w:val="table of authorities"/>
    <w:basedOn w:val="a1"/>
    <w:next w:val="a1"/>
    <w:semiHidden/>
    <w:unhideWhenUsed/>
    <w:rsid w:val="00F64F24"/>
    <w:pPr>
      <w:ind w:left="240" w:hanging="240"/>
    </w:pPr>
  </w:style>
  <w:style w:type="table" w:styleId="afffff7">
    <w:name w:val="Light Grid"/>
    <w:basedOn w:val="a3"/>
    <w:uiPriority w:val="62"/>
    <w:semiHidden/>
    <w:unhideWhenUsed/>
    <w:rsid w:val="00F64F2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F64F2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F64F2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F64F2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F64F2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F64F2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F64F2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F64F2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F64F2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F64F2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F64F2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F64F2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F64F2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F64F2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F64F2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F64F2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F64F2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F64F2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F64F2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F64F2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F64F2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F64F2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F64F24"/>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F64F24"/>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F64F24"/>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F64F24"/>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F64F24"/>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F64F24"/>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F64F24"/>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F64F24"/>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F64F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F64F2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F64F2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F64F2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F64F2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F64F2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F64F2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F64F2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F64F24"/>
  </w:style>
  <w:style w:type="character" w:customStyle="1" w:styleId="afffffb">
    <w:name w:val="תאריך תו"/>
    <w:basedOn w:val="a2"/>
    <w:link w:val="afffffa"/>
    <w:rsid w:val="00F64F24"/>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790890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302C9"/>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02C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302C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
</file>

<file path=customXml/item2.xml><?xml version="1.0" encoding="utf-8"?>
<DecisionTemplateDS>
  <dt_Decision>
    <DecisionID>0</DecisionID>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אשר אוחיון</FullName>
        <FirstName>אשר</FirstName>
        <LastName>אוחיון</LastName>
        <PartyPropertyName/>
        <AuthenticationTypeAndNumber>מ.ר. 12913</AuthenticationTypeAndNumber>
        <RepresentatedOrRepresentativesNames>פלוני אלמוני, פלונית אלמונית</RepresentatedOrRepresentativesNames>
        <RepresentatedOrRepresentativesCount>2</RepresentatedOrRepresentativesCount>
        <InvitedBy/>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237054257</CasePartyID>
        <PartyTypeID>2</PartyTypeID>
        <ActivityStatusID>1</ActivityStatusID>
        <PartyAliasID>20</PartyAliasID>
        <PartyAliasName>בא כוח תובעים</PartyAliasName>
        <LegalEntityID>386516</LegalEntityID>
        <CaseLegalEntityID>118566133</CaseLegalEntityID>
        <AuthenticationTypeID>4</AuthenticationTypeID>
        <AuthenticationTypeName>מ.ר.</AuthenticationTypeName>
        <LegalEntityNumber>12913</LegalEntityNumber>
        <IsMainPartyType>true</IsMainPartyType>
        <CaseDisplayIdentifier>11384-04-18</CaseDisplayIdentifier>
        <CaseTypeID>1</CaseTypeID>
        <CaseTypeName>תיק אזרחי בסדר דין רגיל (ת"א)</CaseTypeName>
        <CaseName>אלמונית ואח' נ' מחלקה לחקירות שוטרים - מח"ש</CaseName>
        <FullAddress>לויד ג'ורג' 6 ירושלים </FullAddress>
        <EmailAddress>eli@ovs-law.co.il</EmailAddress>
        <MotionID>0</MotionID>
        <CasePleaID>0</CasePleaID>
        <FatherName xml:space="preserve">        </FatherName>
        <LinkedCaseID>0</LinkedCaseID>
        <PartyID>1</PartyID>
        <CasePartyCategoryID>2</CasePartyCategoryID>
        <LegalEntityAddressID>86255327</LegalEntityAddressID>
        <LegalEntityEmailAddressID>68170512</LegalEntityEmailAddressID>
        <PleaTypeID>4</PleaTypeID>
        <LawyerOfficeName>משרד עו"ד:אוחיון-וזאנה-זינגר</LawyerOfficeName>
        <LawyerOfficeID>422744</LawyerOfficeID>
        <GroupPartyAlias/>
        <IsConverted>false</IsConverted>
        <LegalEntityNameID>7500</LegalEntityNameID>
        <RepresentatedNamesOfAssistant/>
        <LegalEntityTypeID>4</LegalEntityTypeID>
        <IsVerdictExists>false</IsVerdictExists>
        <IsAsirAzir>false</IsAsirAzir>
        <IsPublicationProhibited>false</IsPublicationProhibited>
        <PublicationProhibitedFullName>אשר אוחיון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245025416</CasePartyID>
        <PartyTypeID>2</PartyTypeID>
        <ActivityStatusID>1</ActivityStatusID>
        <PartyAliasID>21</PartyAliasID>
        <PartyAliasName>בא כוח נתבעים</PartyAliasName>
        <LegalEntityID>379600</LegalEntityID>
        <CaseLegalEntityID>121039006</CaseLegalEntityID>
        <AuthenticationTypeID>4</AuthenticationTypeID>
        <AuthenticationTypeName>מ.ר.</AuthenticationTypeName>
        <LegalEntityNumber>14771</LegalEntityNumber>
        <IsMainPartyType>true</IsMainPartyType>
        <CaseDisplayIdentifier>11384-04-18</CaseDisplayIdentifier>
        <CaseTypeID>1</CaseTypeID>
        <CaseTypeName>תיק אזרחי בסדר דין רגיל (ת"א)</CaseTypeName>
        <CaseName>אלמונית ואח' נ' מחלקה לחקירות שוטרים - מח"ש</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פלונית אלמונית</FullName>
        <FirstName>פלונית</FirstName>
        <LastName>אלמונית</LastName>
        <PartyPropertyName/>
        <AuthenticationTypeAndNumber>ת"ז 033760869</AuthenticationTypeAndNumber>
        <RepresentatedOrRepresentativesNames>אשר אוחיון</RepresentatedOrRepresentativesNames>
        <RepresentatedOrRepresentativesCount>1</RepresentatedOrRepresentativesCount>
        <InvitedBy/>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237710325</CasePartyID>
        <PartyTypeID>1</PartyTypeID>
        <ActivityStatusID>1</ActivityStatusID>
        <PartyAliasID>1</PartyAliasID>
        <PartyAliasName>תובע</PartyAliasName>
        <OrdinalNumber>1</OrdinalNumber>
        <LegalEntityID>71544836</LegalEntityID>
        <CaseLegalEntityID>101700024</CaseLegalEntityID>
        <AuthenticationTypeID>1</AuthenticationTypeID>
        <AuthenticationTypeName>ת"ז</AuthenticationTypeName>
        <LegalEntityNumber>033760869</LegalEntityNumber>
        <IsMainPartyType>true</IsMainPartyType>
        <CaseDisplayIdentifier>11384-04-18</CaseDisplayIdentifier>
        <CaseTypeID>1</CaseTypeID>
        <CaseTypeName>תיק אזרחי בסדר דין רגיל (ת"א)</CaseTypeName>
        <CaseName>אלמונית ואח' נ' מחלקה לחקירות שוטרים - מח"ש</CaseName>
        <FullAddress>.</FullAddress>
        <EmailAddress>simona77@walla.co.il</EmailAddress>
        <MotionID>0</MotionID>
        <CasePleaID>0</CasePleaID>
        <FatherName>יצחק</FatherName>
        <LinkedCaseID>0</LinkedCaseID>
        <PartyID>1</PartyID>
        <CasePartyCategoryID>2</CasePartyCategoryID>
        <LegalEntityAddressID>86217858</LegalEntityAddressID>
        <LegalEntityEmailAddressID>68168547</LegalEntityEmailAddressID>
        <PleaTypeID>4</PleaTypeID>
        <GroupPartyAlias>תובעים</GroupPartyAlias>
        <IsConverted>false</IsConverted>
        <LegalEntityNameID>92725893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פלונית אלמונית</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מחלקה לחקירות שוטרים - מח"ש</FullName>
        <LastName>מחלקה לחקירות שוטרים - מח"ש</LastName>
        <PartyPropertyName/>
        <AuthenticationTypeAndNumber>משרדי ממשלה 570000778</AuthenticationTypeAndNumber>
        <RepresentatedOrRepresentativesNames>ליאב וינבאום</RepresentatedOrRepresentativesNames>
        <RepresentatedOrRepresentativesCount>1</RepresentatedOrRepresentativesCount>
        <InvitedBy/>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180364746</CasePartyID>
        <PartyTypeID>1</PartyTypeID>
        <ActivityStatusID>1</ActivityStatusID>
        <PartyAliasID>2</PartyAliasID>
        <PartyAliasName>נתבע</PartyAliasName>
        <OrdinalNumber>1</OrdinalNumber>
        <LegalEntityID>21034082</LegalEntityID>
        <CaseLegalEntityID>101700028</CaseLegalEntityID>
        <AuthenticationTypeID>13</AuthenticationTypeID>
        <AuthenticationTypeName>משרדי ממשלה</AuthenticationTypeName>
        <LegalEntityNumber>570000778</LegalEntityNumber>
        <IsMainPartyType>true</IsMainPartyType>
        <CaseDisplayIdentifier>11384-04-18</CaseDisplayIdentifier>
        <CaseTypeID>1</CaseTypeID>
        <CaseTypeName>תיק אזרחי בסדר דין רגיל (ת"א)</CaseTypeName>
        <CaseName>אלמונית ואח' נ' מחלקה לחקירות שוטרים - מח"ש</CaseName>
        <FullAddress>ת.ד 45208 ירושלים הרטום 8 הר החוצבים</FullAddress>
        <MotionID>0</MotionID>
        <CasePleaID>0</CasePleaID>
        <LinkedCaseID>0</LinkedCaseID>
        <PartyID>2</PartyID>
        <CasePartyCategoryID>2</CasePartyCategoryID>
        <LegalEntityAddressID>33486458</LegalEntityAddressID>
        <PleaTypeID>4</PleaTypeID>
        <GroupPartyAlias>נתבעים</GroupPartyAlias>
        <IsConverted>false</IsConverted>
        <LegalEntityRegisteredNameID>1807746</LegalEntityRegisteredNameID>
        <RepresentatedNamesOfAssistant/>
        <LegalEntityTypeID>3</LegalEntityTypeID>
        <IsVerdictExists>false</IsVerdictExists>
        <IsAsirAzir>false</IsAsirAzir>
        <IsPublicationProhibited>false</IsPublicationProhibited>
        <PublicationProhibitedFullName>מחלקה לחקירות שוטרים - מח"ש</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פלוני אלמוני</FullName>
        <FirstName>פלוני</FirstName>
        <LastName>אלמוני</LastName>
        <PartyPropertyName/>
        <AuthenticationTypeAndNumber>ת"ז 028257509</AuthenticationTypeAndNumber>
        <RepresentatedOrRepresentativesNames>אשר אוחיון</RepresentatedOrRepresentativesNames>
        <RepresentatedOrRepresentativesCount>1</RepresentatedOrRepresentativesCount>
        <InvitedBy/>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237768859</CasePartyID>
        <PartyTypeID>1</PartyTypeID>
        <ActivityStatusID>1</ActivityStatusID>
        <PartyAliasID>1</PartyAliasID>
        <PartyAliasName>תובע</PartyAliasName>
        <OrdinalNumber>2</OrdinalNumber>
        <LegalEntityID>69854217</LegalEntityID>
        <CaseLegalEntityID>101700025</CaseLegalEntityID>
        <AuthenticationTypeID>1</AuthenticationTypeID>
        <AuthenticationTypeName>ת"ז</AuthenticationTypeName>
        <LegalEntityNumber>028257509</LegalEntityNumber>
        <IsMainPartyType>true</IsMainPartyType>
        <CaseDisplayIdentifier>11384-04-18</CaseDisplayIdentifier>
        <CaseTypeID>1</CaseTypeID>
        <CaseTypeName>תיק אזרחי בסדר דין רגיל (ת"א)</CaseTypeName>
        <CaseName>אלמונית ואח' נ' מחלקה לחקירות שוטרים - מח"ש</CaseName>
        <FullAddress>.</FullAddress>
        <MotionID>0</MotionID>
        <CasePleaID>0</CasePleaID>
        <FatherName>סלמאן</FatherName>
        <LinkedCaseID>0</LinkedCaseID>
        <PartyID>1</PartyID>
        <CasePartyCategoryID>2</CasePartyCategoryID>
        <LegalEntityAddressID>86218038</LegalEntityAddressID>
        <PleaTypeID>4</PleaTypeID>
        <GroupPartyAlias>תובעים</GroupPartyAlias>
        <IsConverted>false</IsConverted>
        <LegalEntityNameID>92732776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פלוני אלמוני</PublicationProhibitedFullName>
      </CaseParties>
    </CasePartiesSelectionDS>
    <DecisionName>פסק דין  שניתנה ע"י  בלהה טולקובסקי</DecisionName>
    <CourtDisplayName>בית המשפט המחוזי מרכז-לוד</CourtDisplayName>
    <IsCaseJudgePanel>false</IsCaseJudgePanel>
    <DecisionSignatureDate>2023-09-21T08:31:39.7290906+03:00</DecisionSignatureDate>
    <OpenCaseDate>2018-04-09T12:02:00+03:00</OpenCaseDate>
    <CaseFeeSum>3000000.000</CaseFeeSum>
    <DecisionTypeID>2</DecisionTypeID>
    <DecisionSignatureUserName>בלהה טולקובסקי</DecisionSignatureUserName>
    <DecisionSignatureDateHebrew>2023-09-21T08:31:39.7290906+03:00</DecisionSignatureDateHebrew>
    <DecisionWriterID>059128892@GOV.IL</DecisionWriterID>
    <CourtAddress>רח' שדרות הציונות 3, לוד -1</CourtAddress>
    <IsAutoTextInCaseExist>false</IsAutoTextInCaseExist>
    <DecisionSignatureRoleName>שופט</DecisionSignatureRoleName>
    <DecisionSignatureUserTitleName>שופטת, סגנית הנשיאה</DecisionSignatureUserTitleName>
    <CaseName>אלמונית ואח' נ' מחלקה לחקירות שוטרים - מח"ש</CaseName>
    <DecisionNumberInCase>1</DecisionNumberInCase>
  </dt_Decision>
  <dt_DecisionCase>
    <DecisionID>0</DecisionID>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אשר אוחיון</FullName>
        <FirstName>אשר</FirstName>
        <LastName>אוחיון</LastName>
        <PartyPropertyName/>
        <AuthenticationTypeAndNumber>מ.ר. 12913</AuthenticationTypeAndNumber>
        <RepresentatedOrRepresentativesNames>פלוני אלמוני, פלונית אלמונית</RepresentatedOrRepresentativesNames>
        <RepresentatedOrRepresentativesCount>2</RepresentatedOrRepresentativesCount>
        <InvitedBy/>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237054257</CasePartyID>
        <PartyTypeID>2</PartyTypeID>
        <ActivityStatusID>1</ActivityStatusID>
        <PartyAliasID>20</PartyAliasID>
        <PartyAliasName>בא כוח תובעים</PartyAliasName>
        <LegalEntityID>386516</LegalEntityID>
        <CaseLegalEntityID>118566133</CaseLegalEntityID>
        <AuthenticationTypeID>4</AuthenticationTypeID>
        <AuthenticationTypeName>מ.ר.</AuthenticationTypeName>
        <LegalEntityNumber>12913</LegalEntityNumber>
        <IsMainPartyType>true</IsMainPartyType>
        <CaseDisplayIdentifier>11384-04-18</CaseDisplayIdentifier>
        <CaseTypeID>1</CaseTypeID>
        <CaseTypeName>תיק אזרחי בסדר דין רגיל (ת"א)</CaseTypeName>
        <CaseName>אלמונית ואח' נ' מחלקה לחקירות שוטרים - מח"ש</CaseName>
        <FullAddress>לויד ג'ורג' 6 ירושלים </FullAddress>
        <EmailAddress>eli@ovs-law.co.il</EmailAddress>
        <MotionID>0</MotionID>
        <CasePleaID>0</CasePleaID>
        <FatherName xml:space="preserve">        </FatherName>
        <LinkedCaseID>0</LinkedCaseID>
        <PartyID>1</PartyID>
        <CasePartyCategoryID>2</CasePartyCategoryID>
        <LegalEntityAddressID>86255327</LegalEntityAddressID>
        <LegalEntityEmailAddressID>68170512</LegalEntityEmailAddressID>
        <PleaTypeID>4</PleaTypeID>
        <LawyerOfficeName>משרד עו"ד:אוחיון-וזאנה-זינגר</LawyerOfficeName>
        <LawyerOfficeID>422744</LawyerOfficeID>
        <GroupPartyAlias/>
        <IsConverted>false</IsConverted>
        <LegalEntityNameID>7500</LegalEntityNameID>
        <RepresentatedNamesOfAssistant/>
        <LegalEntityTypeID>4</LegalEntityTypeID>
        <IsVerdictExists>false</IsVerdictExists>
        <IsAsirAzir>false</IsAsirAzir>
        <IsPublicationProhibited>false</IsPublicationProhibited>
        <PublicationProhibitedFullName>אשר אוחיון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245025416</CasePartyID>
        <PartyTypeID>2</PartyTypeID>
        <ActivityStatusID>1</ActivityStatusID>
        <PartyAliasID>21</PartyAliasID>
        <PartyAliasName>בא כוח נתבעים</PartyAliasName>
        <LegalEntityID>379600</LegalEntityID>
        <CaseLegalEntityID>121039006</CaseLegalEntityID>
        <AuthenticationTypeID>4</AuthenticationTypeID>
        <AuthenticationTypeName>מ.ר.</AuthenticationTypeName>
        <LegalEntityNumber>14771</LegalEntityNumber>
        <IsMainPartyType>true</IsMainPartyType>
        <CaseDisplayIdentifier>11384-04-18</CaseDisplayIdentifier>
        <CaseTypeID>1</CaseTypeID>
        <CaseTypeName>תיק אזרחי בסדר דין רגיל (ת"א)</CaseTypeName>
        <CaseName>אלמונית ואח' נ' מחלקה לחקירות שוטרים - מח"ש</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פלונית אלמונית</FullName>
        <FirstName>פלונית</FirstName>
        <LastName>אלמונית</LastName>
        <PartyPropertyName/>
        <AuthenticationTypeAndNumber>ת"ז 033760869</AuthenticationTypeAndNumber>
        <RepresentatedOrRepresentativesNames>אשר אוחיון</RepresentatedOrRepresentativesNames>
        <RepresentatedOrRepresentativesCount>1</RepresentatedOrRepresentativesCount>
        <InvitedBy/>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237710325</CasePartyID>
        <PartyTypeID>1</PartyTypeID>
        <ActivityStatusID>1</ActivityStatusID>
        <PartyAliasID>1</PartyAliasID>
        <PartyAliasName>תובע</PartyAliasName>
        <OrdinalNumber>1</OrdinalNumber>
        <LegalEntityID>71544836</LegalEntityID>
        <CaseLegalEntityID>101700024</CaseLegalEntityID>
        <AuthenticationTypeID>1</AuthenticationTypeID>
        <AuthenticationTypeName>ת"ז</AuthenticationTypeName>
        <LegalEntityNumber>033760869</LegalEntityNumber>
        <IsMainPartyType>true</IsMainPartyType>
        <CaseDisplayIdentifier>11384-04-18</CaseDisplayIdentifier>
        <CaseTypeID>1</CaseTypeID>
        <CaseTypeName>תיק אזרחי בסדר דין רגיל (ת"א)</CaseTypeName>
        <CaseName>אלמונית ואח' נ' מחלקה לחקירות שוטרים - מח"ש</CaseName>
        <FullAddress>.</FullAddress>
        <EmailAddress>simona77@walla.co.il</EmailAddress>
        <MotionID>0</MotionID>
        <CasePleaID>0</CasePleaID>
        <FatherName>יצחק</FatherName>
        <LinkedCaseID>0</LinkedCaseID>
        <PartyID>1</PartyID>
        <CasePartyCategoryID>2</CasePartyCategoryID>
        <LegalEntityAddressID>86217858</LegalEntityAddressID>
        <LegalEntityEmailAddressID>68168547</LegalEntityEmailAddressID>
        <PleaTypeID>4</PleaTypeID>
        <GroupPartyAlias>תובעים</GroupPartyAlias>
        <IsConverted>false</IsConverted>
        <LegalEntityNameID>92725893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פלונית אלמונית</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מחלקה לחקירות שוטרים - מח"ש</FullName>
        <LastName>מחלקה לחקירות שוטרים - מח"ש</LastName>
        <PartyPropertyName/>
        <AuthenticationTypeAndNumber>משרדי ממשלה 570000778</AuthenticationTypeAndNumber>
        <RepresentatedOrRepresentativesNames>ליאב וינבאום</RepresentatedOrRepresentativesNames>
        <RepresentatedOrRepresentativesCount>1</RepresentatedOrRepresentativesCount>
        <InvitedBy/>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180364746</CasePartyID>
        <PartyTypeID>1</PartyTypeID>
        <ActivityStatusID>1</ActivityStatusID>
        <PartyAliasID>2</PartyAliasID>
        <PartyAliasName>נתבע</PartyAliasName>
        <OrdinalNumber>1</OrdinalNumber>
        <LegalEntityID>21034082</LegalEntityID>
        <CaseLegalEntityID>101700028</CaseLegalEntityID>
        <AuthenticationTypeID>13</AuthenticationTypeID>
        <AuthenticationTypeName>משרדי ממשלה</AuthenticationTypeName>
        <LegalEntityNumber>570000778</LegalEntityNumber>
        <IsMainPartyType>true</IsMainPartyType>
        <CaseDisplayIdentifier>11384-04-18</CaseDisplayIdentifier>
        <CaseTypeID>1</CaseTypeID>
        <CaseTypeName>תיק אזרחי בסדר דין רגיל (ת"א)</CaseTypeName>
        <CaseName>אלמונית ואח' נ' מחלקה לחקירות שוטרים - מח"ש</CaseName>
        <FullAddress>ת.ד 45208 ירושלים הרטום 8 הר החוצבים</FullAddress>
        <MotionID>0</MotionID>
        <CasePleaID>0</CasePleaID>
        <LinkedCaseID>0</LinkedCaseID>
        <PartyID>2</PartyID>
        <CasePartyCategoryID>2</CasePartyCategoryID>
        <LegalEntityAddressID>33486458</LegalEntityAddressID>
        <PleaTypeID>4</PleaTypeID>
        <GroupPartyAlias>נתבעים</GroupPartyAlias>
        <IsConverted>false</IsConverted>
        <LegalEntityRegisteredNameID>1807746</LegalEntityRegisteredNameID>
        <RepresentatedNamesOfAssistant/>
        <LegalEntityTypeID>3</LegalEntityTypeID>
        <IsVerdictExists>false</IsVerdictExists>
        <IsAsirAzir>false</IsAsirAzir>
        <IsPublicationProhibited>false</IsPublicationProhibited>
        <PublicationProhibitedFullName>מחלקה לחקירות שוטרים - מח"ש</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פלוני אלמוני</FullName>
        <FirstName>פלוני</FirstName>
        <LastName>אלמוני</LastName>
        <PartyPropertyName/>
        <AuthenticationTypeAndNumber>ת"ז 028257509</AuthenticationTypeAndNumber>
        <RepresentatedOrRepresentativesNames>אשר אוחיון</RepresentatedOrRepresentativesNames>
        <RepresentatedOrRepresentativesCount>1</RepresentatedOrRepresentativesCount>
        <InvitedBy/>
        <CaseID>75377090</CaseID>
        <CaseJudicialPersonPresentationDS>
          <CaseJudicalPersonActive>
            <CaseID>75377090</CaseID>
            <JudicialPersonID>059128892@GOV.IL</JudicialPersonID>
            <JudicialPersonTypeID>1</JudicialPersonTypeID>
            <JudicialTypeID>1</JudicialTypeID>
            <IsChairman>false</IsChairman>
            <TreatmentStartDate>2018-04-09T12:19:15.53+03:00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237768859</CasePartyID>
        <PartyTypeID>1</PartyTypeID>
        <ActivityStatusID>1</ActivityStatusID>
        <PartyAliasID>1</PartyAliasID>
        <PartyAliasName>תובע</PartyAliasName>
        <OrdinalNumber>2</OrdinalNumber>
        <LegalEntityID>69854217</LegalEntityID>
        <CaseLegalEntityID>101700025</CaseLegalEntityID>
        <AuthenticationTypeID>1</AuthenticationTypeID>
        <AuthenticationTypeName>ת"ז</AuthenticationTypeName>
        <LegalEntityNumber>028257509</LegalEntityNumber>
        <IsMainPartyType>true</IsMainPartyType>
        <CaseDisplayIdentifier>11384-04-18</CaseDisplayIdentifier>
        <CaseTypeID>1</CaseTypeID>
        <CaseTypeName>תיק אזרחי בסדר דין רגיל (ת"א)</CaseTypeName>
        <CaseName>אלמונית ואח' נ' מחלקה לחקירות שוטרים - מח"ש</CaseName>
        <FullAddress>.</FullAddress>
        <MotionID>0</MotionID>
        <CasePleaID>0</CasePleaID>
        <FatherName>סלמאן</FatherName>
        <LinkedCaseID>0</LinkedCaseID>
        <PartyID>1</PartyID>
        <CasePartyCategoryID>2</CasePartyCategoryID>
        <LegalEntityAddressID>86218038</LegalEntityAddressID>
        <PleaTypeID>4</PleaTypeID>
        <GroupPartyAlias>תובעים</GroupPartyAlias>
        <IsConverted>false</IsConverted>
        <LegalEntityNameID>92732776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פלוני אלמוני</PublicationProhibitedFullName>
      </CaseParties>
    </CasePartiesSelectionDS>
    <CaseName>אלמונית ואח' נ' מחלקה לחקירות שוטרים - מח"ש</CaseName>
    <CaseDisplayIdentifier>11384-04-18</CaseDisplayIdentifier>
    <CaseInterestID>41</CaseInterestID>
    <CaseTypeShortName>ת"א</CaseTypeShortName>
  </dt_DecisionCase>
  <dt_DecisionJudgePanel>
    <JudgeID>059128892@GOV.IL</JudgeID>
    <DisplayName>בלהה טולקובסקי</DisplayName>
    <RoleName>שופט</RoleName>
    <UserTitleName>שופטת, סגנית הנשיאה</UserTitleName>
  </dt_DecisionJudgePanel>
  <dt_LegalEntityDetails>
    <Fax>02-6259912</Fax>
    <Phone>02-6249366</Phone>
    <PartyID>1</PartyID>
    <PartyTypeID>2</PartyTypeID>
    <DecisionID>0</DecisionID>
    <StreetName>לויד ג'ורג' 6</StreetName>
    <ZipCode>9311006</ZipCode>
    <CityName>ירושלים</CityName>
    <FullName>אשר אוחיון</FullName>
    <Email>eli@ovs-law.co.il</Email>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02-6467794</Fax>
    <Phone>02-5412458</Phone>
    <AddressDesc>הרטום 8 הר החוצבים</AddressDesc>
    <PartyID>2</PartyID>
    <PartyTypeID>1</PartyTypeID>
    <DecisionID>0</DecisionID>
    <StreetName>ת.ד 45208</StreetName>
    <ZipCode>91450</ZipCode>
    <CityName>ירושלים</CityName>
    <FullName> מחלקה לחקירות שוטרים - מח"ש</FullName>
    <IsPublicationProhibited>false</IsPublicationProhibited>
  </dt_LegalEntityDetails>
  <dt_LegalEntityDetails>
    <Fax>076-8603869</Fax>
    <AddressDesc>.</AddressDesc>
    <PartyID>1</PartyID>
    <PartyTypeID>1</PartyTypeID>
    <DecisionID>0</DecisionID>
    <FullName>פלונית אלמונית</FullName>
    <Email>simona77@walla.co.il</Email>
    <IsPublicationProhibited>false</IsPublicationProhibited>
  </dt_LegalEntityDetails>
  <dt_LegalEntityDetails>
    <Fax>077-2161901</Fax>
    <AddressDesc>.</AddressDesc>
    <PartyID>1</PartyID>
    <PartyTypeID>1</PartyTypeID>
    <DecisionID>0</DecisionID>
    <FullName>פלוני אלמוני</FullName>
    <IsPublicationProhibited>false</IsPublicationProhibited>
  </dt_LegalEntityDetails>
  <dt_CaseJudicalPersonActive>
    <CaseJudicalPerson>שופטת, סגנית הנשיאה בלהה טולקובסקי</CaseJudicalPerson>
  </dt_CaseJudicalPersonActive>
  <dt_Sitting>
    <PreviousMeetingDate>2022-04-06T12:00:00+03:00</PreviousMeetingDate>
    <PreviousSittingTypeID>2</PreviousSittingTypeID>
    <PreviousMeetingDisplayName>שופטת, סגנית הנשיאה בלהה טולקובסקי</PreviousMeetingDisplayName>
    <PreviousMeetingRoleName>שופט</PreviousMeetingRoleName>
    <PreviousMeetingUserTitleName>שופטת, סגנית הנשיאה</PreviousMeetingUserTitleName>
    <PreviousMeetingUserUPN>059128892@GOV.IL</PreviousMeetingUserUPN>
  </dt_Sitting>
</DecisionTemplateD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423C0-F135-4B2F-BE6D-DF666BF03865}"/>
</file>

<file path=customXml/itemProps2.xml><?xml version="1.0" encoding="utf-8"?>
<ds:datastoreItem xmlns:ds="http://schemas.openxmlformats.org/officeDocument/2006/customXml" ds:itemID="{6EFFD7DE-D1FA-4F7A-93DF-5D31C86D24BC}">
  <ds:schemaRefs/>
</ds:datastoreItem>
</file>

<file path=customXml/itemProps3.xml><?xml version="1.0" encoding="utf-8"?>
<ds:datastoreItem xmlns:ds="http://schemas.openxmlformats.org/officeDocument/2006/customXml" ds:itemID="{80DE95F6-E5EC-4DF8-8FF2-8C8002AC7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11184</Words>
  <Characters>55920</Characters>
  <Application>Microsoft Office Word</Application>
  <DocSecurity>4</DocSecurity>
  <Lines>466</Lines>
  <Paragraphs>133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2023-10-10T10:48:00Z</dcterms:created>
  <dcterms:modified xsi:type="dcterms:W3CDTF">2023-10-10T10:48:00Z</dcterms:modified>
</cp:coreProperties>
</file>